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0DF3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3</w:t>
      </w:r>
      <w:r>
        <w:rPr>
          <w:rFonts w:hint="eastAsia"/>
          <w:sz w:val="44"/>
          <w:szCs w:val="44"/>
        </w:rPr>
        <w:t>年政府决算空表情况说明</w:t>
      </w:r>
    </w:p>
    <w:p w14:paraId="6895D8B8">
      <w:pPr>
        <w:jc w:val="center"/>
        <w:rPr>
          <w:rFonts w:hint="eastAsia"/>
          <w:sz w:val="44"/>
          <w:szCs w:val="44"/>
        </w:rPr>
      </w:pPr>
    </w:p>
    <w:p w14:paraId="0086622B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城市本级政府决算公开表中，第三部分:国有资本经营预算中《2023年度白城市本级国有资本经营预算收入决算总表》、《2023年度白城市本级国有资本经营预算支出决算总表》、《2023年度白城市本级国有资本经营预算收入决算明细表》和《2023年度白城市本级国有资本经营预算支出决算明细表》为空表，是因为白城市本级无国有资本经营预算，所以此两项报表数据为空。</w:t>
      </w:r>
    </w:p>
    <w:p w14:paraId="4B4E1661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白城市直政府决算公开表中，第三部分:国有资本经营预算中《2023年度白城市直国有资本经营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收入决算总表》、《2023年度白城市直国有资本经营预算支出决算总表》、《2023年度白城市直国有资本经营预算收入决算明细表》和《2023年度白城市直国有资本经营预算支出决算明细表》为空表，是因为白城市直无国有资本经营预算，所以此两项报表数据为空。</w:t>
      </w:r>
    </w:p>
    <w:p w14:paraId="79982AD4"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MzhiNDEyZDI5M2JhNmM3NWVkMmU0MjI1MzNlNjYifQ=="/>
  </w:docVars>
  <w:rsids>
    <w:rsidRoot w:val="00000000"/>
    <w:rsid w:val="06766583"/>
    <w:rsid w:val="0B2576AC"/>
    <w:rsid w:val="173764D0"/>
    <w:rsid w:val="4FBE45E8"/>
    <w:rsid w:val="51695E34"/>
    <w:rsid w:val="57E178DC"/>
    <w:rsid w:val="64E74334"/>
    <w:rsid w:val="7AD2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359</Characters>
  <Lines>0</Lines>
  <Paragraphs>0</Paragraphs>
  <TotalTime>0</TotalTime>
  <ScaleCrop>false</ScaleCrop>
  <LinksUpToDate>false</LinksUpToDate>
  <CharactersWithSpaces>359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2022-08-16T00:17:00Z</dcterms:created>
  <dc:creator>lenovo</dc:creator>
  <cp:lastModifiedBy>心电</cp:lastModifiedBy>
  <dcterms:modified xsi:type="dcterms:W3CDTF">2024-09-10T12:50:55Z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58DA82EAA86A4280BF76941C3B0F2E96</vt:lpwstr>
  </property>
</Properties>
</file>