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D7BA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000000" w:themeColor="text1"/>
          <w:sz w:val="36"/>
          <w:szCs w:val="36"/>
          <w:lang w:val="en-US" w:eastAsia="zh-CN"/>
          <w14:textFill>
            <w14:solidFill>
              <w14:schemeClr w14:val="tx1"/>
            </w14:solidFill>
          </w14:textFill>
        </w:rPr>
      </w:pPr>
      <w:bookmarkStart w:id="0" w:name="_Toc91386011"/>
      <w:bookmarkStart w:id="1" w:name="_Toc56676621"/>
      <w:bookmarkStart w:id="2" w:name="_Toc70056727"/>
      <w:r>
        <w:rPr>
          <w:rFonts w:hint="eastAsia" w:asciiTheme="minorEastAsia" w:hAnsiTheme="minorEastAsia" w:eastAsiaTheme="minorEastAsia" w:cstheme="minorEastAsia"/>
          <w:b/>
          <w:bCs/>
          <w:color w:val="000000" w:themeColor="text1"/>
          <w:sz w:val="36"/>
          <w:szCs w:val="36"/>
          <w:lang w:val="en-US" w:eastAsia="zh-CN"/>
          <w14:textFill>
            <w14:solidFill>
              <w14:schemeClr w14:val="tx1"/>
            </w14:solidFill>
          </w14:textFill>
        </w:rPr>
        <w:t>目    录</w:t>
      </w:r>
    </w:p>
    <w:p w14:paraId="6F8E07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bCs/>
          <w:lang w:val="en-US" w:eastAsia="zh-CN"/>
        </w:rPr>
      </w:pPr>
    </w:p>
    <w:p w14:paraId="754A86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14:textFill>
            <w14:solidFill>
              <w14:schemeClr w14:val="tx1"/>
            </w14:solidFill>
          </w14:textFill>
        </w:rPr>
        <w:t>领导决策方面的管理制度</w:t>
      </w:r>
      <w:bookmarkStart w:id="15" w:name="_GoBack"/>
      <w:bookmarkEnd w:id="15"/>
    </w:p>
    <w:p w14:paraId="2A9861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党组议事决策规则......................................1</w:t>
      </w:r>
    </w:p>
    <w:p w14:paraId="07CC21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局长办公会议制度......................................6</w:t>
      </w:r>
    </w:p>
    <w:p w14:paraId="10DB99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党组理论学习中心组学习制度...........................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w:t>
      </w:r>
    </w:p>
    <w:p w14:paraId="132789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党建目标责任管理制度.................................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w:t>
      </w:r>
    </w:p>
    <w:p w14:paraId="56C603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党风廉政建设责任制度.................................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p>
    <w:p w14:paraId="168017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党员领导干部廉洁从政管理制度.........................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22</w:t>
      </w:r>
    </w:p>
    <w:p w14:paraId="06B683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一把手“五个不直接管”制度...........................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27</w:t>
      </w:r>
    </w:p>
    <w:p w14:paraId="72D9FD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“末位表态”制度.....................................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29</w:t>
      </w:r>
    </w:p>
    <w:p w14:paraId="3A445A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“三重一大”事项集体议事决策制度.....................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31</w:t>
      </w:r>
    </w:p>
    <w:p w14:paraId="01286C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领导干部不允许插手工程项目和招投标制度...............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39</w:t>
      </w:r>
    </w:p>
    <w:p w14:paraId="175092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人事管理制度.........................................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41</w:t>
      </w:r>
    </w:p>
    <w:p w14:paraId="7FB05E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专业技术岗位聘用制度.................................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45</w:t>
      </w:r>
    </w:p>
    <w:p w14:paraId="07907F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权力运行方面的管理制度</w:t>
      </w:r>
    </w:p>
    <w:p w14:paraId="779C48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基本医疗保险定点医药机构协议管理制度.................5</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w:t>
      </w:r>
    </w:p>
    <w:p w14:paraId="56191A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医药价格与招标采购工作制度...........................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57</w:t>
      </w:r>
    </w:p>
    <w:p w14:paraId="073E91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社会医疗保险管理局业务经办管理制度...................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61</w:t>
      </w:r>
    </w:p>
    <w:p w14:paraId="6BACA0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行政执法方面的管理制度</w:t>
      </w:r>
    </w:p>
    <w:p w14:paraId="6FD783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基金监管工作制度.....................................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71</w:t>
      </w:r>
    </w:p>
    <w:p w14:paraId="483B54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洮北经办中心业务经办管理制度.........................7</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7</w:t>
      </w:r>
    </w:p>
    <w:p w14:paraId="3C0DA9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事务管理方面的管理制度</w:t>
      </w:r>
    </w:p>
    <w:p w14:paraId="1DFC25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财务管理制度.........................................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82</w:t>
      </w:r>
    </w:p>
    <w:p w14:paraId="104F99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公务接待管理制度.....................................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89</w:t>
      </w:r>
    </w:p>
    <w:p w14:paraId="22447F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差旅费管理制度.......................................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91</w:t>
      </w:r>
    </w:p>
    <w:p w14:paraId="7AF90E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公务用车管理和使用制度...............................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99</w:t>
      </w:r>
    </w:p>
    <w:p w14:paraId="56AD82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局机关办公用品管理制度..............................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101</w:t>
      </w:r>
    </w:p>
    <w:p w14:paraId="77D56E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固定资产管理制度....................................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103</w:t>
      </w:r>
    </w:p>
    <w:p w14:paraId="33FAB2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工作人员行为管理制度................................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105</w:t>
      </w:r>
    </w:p>
    <w:p w14:paraId="01BA0F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学习制度............................................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107</w:t>
      </w:r>
    </w:p>
    <w:p w14:paraId="4839D0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公文处理制度........................................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109</w:t>
      </w:r>
    </w:p>
    <w:p w14:paraId="6F93733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印章使用管理制度....................................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124</w:t>
      </w:r>
    </w:p>
    <w:p w14:paraId="5E795C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保密工作制度........................................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128</w:t>
      </w:r>
    </w:p>
    <w:p w14:paraId="53F51B1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安全管理安全制度....................................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131</w:t>
      </w:r>
    </w:p>
    <w:p w14:paraId="616AA9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请销假制度..........................................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132</w:t>
      </w:r>
    </w:p>
    <w:p w14:paraId="42C640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干部人事档案管理制度................................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134</w:t>
      </w:r>
    </w:p>
    <w:p w14:paraId="5F3FFA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distribute"/>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社会医疗保险管理局“综合柜员制”及窗口人员管理制度....</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142</w:t>
      </w:r>
    </w:p>
    <w:p w14:paraId="289EA0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260716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heme="minorEastAsia" w:hAnsiTheme="minorEastAsia" w:eastAsiaTheme="minorEastAsia" w:cstheme="minorEastAsia"/>
          <w:b/>
          <w:bCs/>
          <w:i w:val="0"/>
          <w:color w:val="auto"/>
          <w:sz w:val="24"/>
          <w:szCs w:val="24"/>
          <w:lang w:eastAsia="zh-CN"/>
        </w:rPr>
      </w:pPr>
      <w:r>
        <w:rPr>
          <w:rFonts w:hint="eastAsia" w:asciiTheme="minorEastAsia" w:hAnsiTheme="minorEastAsia" w:eastAsiaTheme="minorEastAsia" w:cstheme="minorEastAsia"/>
          <w:b/>
          <w:bCs/>
          <w:i w:val="0"/>
          <w:color w:val="auto"/>
          <w:sz w:val="24"/>
          <w:szCs w:val="24"/>
          <w:lang w:eastAsia="zh-CN"/>
        </w:rPr>
        <w:t>主</w:t>
      </w:r>
      <w:r>
        <w:rPr>
          <w:rFonts w:hint="eastAsia" w:asciiTheme="minorEastAsia" w:hAnsiTheme="minorEastAsia" w:eastAsiaTheme="minorEastAsia" w:cstheme="minorEastAsia"/>
          <w:b/>
          <w:bCs/>
          <w:i w:val="0"/>
          <w:color w:val="auto"/>
          <w:sz w:val="24"/>
          <w:szCs w:val="24"/>
          <w:lang w:val="en-US" w:eastAsia="zh-CN"/>
        </w:rPr>
        <w:t xml:space="preserve">  </w:t>
      </w:r>
      <w:r>
        <w:rPr>
          <w:rFonts w:hint="eastAsia" w:asciiTheme="minorEastAsia" w:hAnsiTheme="minorEastAsia" w:eastAsiaTheme="minorEastAsia" w:cstheme="minorEastAsia"/>
          <w:b/>
          <w:bCs/>
          <w:i w:val="0"/>
          <w:color w:val="auto"/>
          <w:sz w:val="24"/>
          <w:szCs w:val="24"/>
          <w:lang w:eastAsia="zh-CN"/>
        </w:rPr>
        <w:t>编：周大成</w:t>
      </w:r>
    </w:p>
    <w:p w14:paraId="2601EC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heme="minorEastAsia" w:hAnsiTheme="minorEastAsia" w:eastAsiaTheme="minorEastAsia" w:cstheme="minorEastAsia"/>
          <w:b/>
          <w:bCs/>
          <w:i w:val="0"/>
          <w:color w:val="auto"/>
          <w:sz w:val="24"/>
          <w:szCs w:val="24"/>
          <w:lang w:val="en-US" w:eastAsia="zh-CN"/>
        </w:rPr>
      </w:pPr>
      <w:r>
        <w:rPr>
          <w:rFonts w:hint="eastAsia" w:asciiTheme="minorEastAsia" w:hAnsiTheme="minorEastAsia" w:eastAsiaTheme="minorEastAsia" w:cstheme="minorEastAsia"/>
          <w:b/>
          <w:bCs/>
          <w:i w:val="0"/>
          <w:color w:val="auto"/>
          <w:sz w:val="24"/>
          <w:szCs w:val="24"/>
          <w:lang w:val="en-US" w:eastAsia="zh-CN"/>
        </w:rPr>
        <w:t>副主编：王  东</w:t>
      </w:r>
    </w:p>
    <w:p w14:paraId="3D6A83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i w:val="0"/>
          <w:color w:val="auto"/>
          <w:sz w:val="24"/>
          <w:szCs w:val="24"/>
          <w:lang w:val="en-US" w:eastAsia="zh-CN"/>
        </w:rPr>
      </w:pPr>
      <w:r>
        <w:rPr>
          <w:rFonts w:hint="eastAsia" w:asciiTheme="minorEastAsia" w:hAnsiTheme="minorEastAsia" w:eastAsiaTheme="minorEastAsia" w:cstheme="minorEastAsia"/>
          <w:b/>
          <w:bCs/>
          <w:i w:val="0"/>
          <w:color w:val="auto"/>
          <w:sz w:val="24"/>
          <w:szCs w:val="24"/>
          <w:lang w:val="en-US" w:eastAsia="zh-CN"/>
        </w:rPr>
        <w:t>编  辑：王忠巨 冯立义 赵志刚 管 宇 王文秀 付万义 陈 钊</w:t>
      </w:r>
    </w:p>
    <w:p w14:paraId="70C42A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电  话：0436-3536012</w:t>
      </w:r>
    </w:p>
    <w:p w14:paraId="7F0A8017">
      <w:pPr>
        <w:bidi w:val="0"/>
        <w:rPr>
          <w:rFonts w:hint="eastAsia" w:asciiTheme="minorEastAsia" w:hAnsiTheme="minorEastAsia" w:eastAsiaTheme="minorEastAsia" w:cstheme="minorEastAsia"/>
          <w:b/>
          <w:bCs/>
        </w:rPr>
      </w:pPr>
    </w:p>
    <w:p w14:paraId="7C8869D4">
      <w:pPr>
        <w:pStyle w:val="2"/>
        <w:rPr>
          <w:rFonts w:hint="eastAsia" w:asciiTheme="minorEastAsia" w:hAnsiTheme="minorEastAsia" w:eastAsiaTheme="minorEastAsia" w:cstheme="minorEastAsia"/>
          <w:b/>
          <w:bCs/>
          <w:i w:val="0"/>
          <w:color w:val="auto"/>
          <w:sz w:val="36"/>
          <w:szCs w:val="36"/>
        </w:rPr>
      </w:pPr>
    </w:p>
    <w:p w14:paraId="17752EE4">
      <w:pPr>
        <w:rPr>
          <w:rFonts w:hint="eastAsia" w:asciiTheme="minorEastAsia" w:hAnsiTheme="minorEastAsia" w:eastAsiaTheme="minorEastAsia" w:cstheme="minorEastAsia"/>
          <w:b/>
          <w:bCs/>
        </w:rPr>
        <w:sectPr>
          <w:footerReference r:id="rId3" w:type="default"/>
          <w:pgSz w:w="11906" w:h="16838"/>
          <w:pgMar w:top="1871" w:right="1417" w:bottom="1701" w:left="1587"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14:paraId="7380CC0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center"/>
        <w:textAlignment w:val="auto"/>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领导决策方面的管理制度</w:t>
      </w:r>
    </w:p>
    <w:p w14:paraId="46ACC286">
      <w:pPr>
        <w:bidi w:val="0"/>
        <w:rPr>
          <w:rFonts w:hint="eastAsia" w:asciiTheme="minorEastAsia" w:hAnsiTheme="minorEastAsia" w:eastAsiaTheme="minorEastAsia" w:cstheme="minorEastAsia"/>
          <w:b/>
          <w:bCs/>
        </w:rPr>
      </w:pPr>
    </w:p>
    <w:p w14:paraId="546BFF8F">
      <w:pPr>
        <w:bidi w:val="0"/>
        <w:rPr>
          <w:rFonts w:hint="eastAsia" w:asciiTheme="minorEastAsia" w:hAnsiTheme="minorEastAsia" w:eastAsiaTheme="minorEastAsia" w:cstheme="minorEastAsia"/>
          <w:b/>
          <w:bCs/>
        </w:rPr>
      </w:pPr>
    </w:p>
    <w:p w14:paraId="076DA863">
      <w:pPr>
        <w:pageBreakBefore w:val="0"/>
        <w:kinsoku/>
        <w:overflowPunct/>
        <w:topLinePunct w:val="0"/>
        <w:bidi w:val="0"/>
        <w:ind w:left="0" w:leftChars="0" w:right="0" w:rightChars="0" w:firstLine="0" w:firstLineChars="0"/>
        <w:jc w:val="center"/>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i w:val="0"/>
          <w:color w:val="auto"/>
          <w:sz w:val="36"/>
          <w:szCs w:val="36"/>
        </w:rPr>
        <w:t>党组议事决策</w:t>
      </w:r>
      <w:r>
        <w:rPr>
          <w:rFonts w:hint="eastAsia" w:asciiTheme="minorEastAsia" w:hAnsiTheme="minorEastAsia" w:eastAsiaTheme="minorEastAsia" w:cstheme="minorEastAsia"/>
          <w:b/>
          <w:bCs/>
          <w:i w:val="0"/>
          <w:color w:val="auto"/>
          <w:sz w:val="36"/>
          <w:szCs w:val="36"/>
          <w:lang w:eastAsia="zh-CN"/>
        </w:rPr>
        <w:t>规则</w:t>
      </w:r>
    </w:p>
    <w:p w14:paraId="575B841E">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i w:val="0"/>
          <w:color w:val="auto"/>
          <w:sz w:val="24"/>
          <w:szCs w:val="24"/>
        </w:rPr>
        <w:t>第一章</w:t>
      </w:r>
      <w:r>
        <w:rPr>
          <w:rFonts w:hint="eastAsia" w:asciiTheme="minorEastAsia" w:hAnsiTheme="minorEastAsia" w:eastAsiaTheme="minorEastAsia" w:cstheme="minorEastAsia"/>
          <w:b/>
          <w:bCs/>
          <w:i w:val="0"/>
          <w:color w:val="auto"/>
          <w:sz w:val="24"/>
          <w:szCs w:val="24"/>
          <w:lang w:val="en-US" w:eastAsia="zh-CN"/>
        </w:rPr>
        <w:t xml:space="preserve"> </w:t>
      </w:r>
      <w:r>
        <w:rPr>
          <w:rFonts w:hint="eastAsia" w:asciiTheme="minorEastAsia" w:hAnsiTheme="minorEastAsia" w:eastAsiaTheme="minorEastAsia" w:cstheme="minorEastAsia"/>
          <w:b/>
          <w:bCs/>
          <w:i w:val="0"/>
          <w:color w:val="auto"/>
          <w:sz w:val="24"/>
          <w:szCs w:val="24"/>
        </w:rPr>
        <w:t xml:space="preserve"> 总 则</w:t>
      </w:r>
    </w:p>
    <w:p w14:paraId="2861F74F">
      <w:pPr>
        <w:pStyle w:val="14"/>
        <w:keepNext w:val="0"/>
        <w:keepLines w:val="0"/>
        <w:pageBreakBefore w:val="0"/>
        <w:widowControl/>
        <w:suppressLineNumbers w:val="0"/>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第一条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为健全党的民主集中制，推进议事决策科学化、民主化、规范化，根据有关规定，结合</w:t>
      </w:r>
      <w:r>
        <w:rPr>
          <w:rFonts w:hint="eastAsia" w:asciiTheme="minorEastAsia" w:hAnsiTheme="minorEastAsia" w:eastAsiaTheme="minorEastAsia" w:cstheme="minorEastAsia"/>
          <w:b w:val="0"/>
          <w:bCs w:val="0"/>
          <w:i w:val="0"/>
          <w:color w:val="auto"/>
          <w:sz w:val="24"/>
          <w:szCs w:val="24"/>
          <w:lang w:eastAsia="zh-CN"/>
        </w:rPr>
        <w:t>白城市医疗保障局</w:t>
      </w:r>
      <w:r>
        <w:rPr>
          <w:rFonts w:hint="eastAsia" w:asciiTheme="minorEastAsia" w:hAnsiTheme="minorEastAsia" w:eastAsiaTheme="minorEastAsia" w:cstheme="minorEastAsia"/>
          <w:b w:val="0"/>
          <w:bCs w:val="0"/>
          <w:i w:val="0"/>
          <w:color w:val="auto"/>
          <w:sz w:val="24"/>
          <w:szCs w:val="24"/>
          <w:lang w:val="en-US" w:eastAsia="zh-CN"/>
        </w:rPr>
        <w:t>工作</w:t>
      </w:r>
      <w:r>
        <w:rPr>
          <w:rFonts w:hint="eastAsia" w:asciiTheme="minorEastAsia" w:hAnsiTheme="minorEastAsia" w:eastAsiaTheme="minorEastAsia" w:cstheme="minorEastAsia"/>
          <w:b w:val="0"/>
          <w:bCs w:val="0"/>
          <w:i w:val="0"/>
          <w:color w:val="auto"/>
          <w:sz w:val="24"/>
          <w:szCs w:val="24"/>
        </w:rPr>
        <w:t>实际，制定本规则。</w:t>
      </w:r>
    </w:p>
    <w:p w14:paraId="2196E36B">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本规则适用于</w:t>
      </w:r>
      <w:r>
        <w:rPr>
          <w:rFonts w:hint="eastAsia" w:asciiTheme="minorEastAsia" w:hAnsiTheme="minorEastAsia" w:eastAsiaTheme="minorEastAsia" w:cstheme="minorEastAsia"/>
          <w:b w:val="0"/>
          <w:bCs w:val="0"/>
          <w:i w:val="0"/>
          <w:color w:val="auto"/>
          <w:sz w:val="24"/>
          <w:szCs w:val="24"/>
          <w:lang w:eastAsia="zh-CN"/>
        </w:rPr>
        <w:t>局</w:t>
      </w:r>
      <w:r>
        <w:rPr>
          <w:rFonts w:hint="eastAsia" w:asciiTheme="minorEastAsia" w:hAnsiTheme="minorEastAsia" w:eastAsiaTheme="minorEastAsia" w:cstheme="minorEastAsia"/>
          <w:b w:val="0"/>
          <w:bCs w:val="0"/>
          <w:i w:val="0"/>
          <w:color w:val="auto"/>
          <w:sz w:val="24"/>
          <w:szCs w:val="24"/>
        </w:rPr>
        <w:t>党组研究决定重大问题和重要事项。</w:t>
      </w:r>
    </w:p>
    <w:p w14:paraId="1F3EE5E7">
      <w:pPr>
        <w:pStyle w:val="14"/>
        <w:keepNext w:val="0"/>
        <w:keepLines w:val="0"/>
        <w:pageBreakBefore w:val="0"/>
        <w:widowControl/>
        <w:suppressLineNumbers w:val="0"/>
        <w:kinsoku/>
        <w:overflowPunct/>
        <w:topLinePunct w:val="0"/>
        <w:bidi w:val="0"/>
        <w:spacing w:before="0" w:beforeAutospacing="0" w:after="0" w:afterAutospacing="0"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i w:val="0"/>
          <w:color w:val="auto"/>
          <w:sz w:val="24"/>
          <w:szCs w:val="24"/>
        </w:rPr>
        <w:t>第二章 议事原则</w:t>
      </w:r>
    </w:p>
    <w:p w14:paraId="09A32396">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第三条  严守政治纪律。坚持以邓小平理论、“三个代表”重要思想和科学发展观为指导，深入贯彻习近平新时代中国特色社会主义思想，在思想上</w:t>
      </w:r>
      <w:r>
        <w:rPr>
          <w:rFonts w:hint="eastAsia" w:asciiTheme="minorEastAsia" w:hAnsiTheme="minorEastAsia" w:eastAsiaTheme="minorEastAsia" w:cstheme="minorEastAsia"/>
          <w:b w:val="0"/>
          <w:bCs w:val="0"/>
          <w:i w:val="0"/>
          <w:color w:val="auto"/>
          <w:sz w:val="24"/>
          <w:szCs w:val="24"/>
          <w:lang w:val="en-US" w:eastAsia="zh-CN"/>
        </w:rPr>
        <w:t>、</w:t>
      </w:r>
      <w:r>
        <w:rPr>
          <w:rFonts w:hint="eastAsia" w:asciiTheme="minorEastAsia" w:hAnsiTheme="minorEastAsia" w:eastAsiaTheme="minorEastAsia" w:cstheme="minorEastAsia"/>
          <w:b w:val="0"/>
          <w:bCs w:val="0"/>
          <w:i w:val="0"/>
          <w:color w:val="auto"/>
          <w:sz w:val="24"/>
          <w:szCs w:val="24"/>
        </w:rPr>
        <w:t>政治上</w:t>
      </w:r>
      <w:r>
        <w:rPr>
          <w:rFonts w:hint="eastAsia" w:asciiTheme="minorEastAsia" w:hAnsiTheme="minorEastAsia" w:eastAsiaTheme="minorEastAsia" w:cstheme="minorEastAsia"/>
          <w:b w:val="0"/>
          <w:bCs w:val="0"/>
          <w:i w:val="0"/>
          <w:color w:val="auto"/>
          <w:sz w:val="24"/>
          <w:szCs w:val="24"/>
          <w:lang w:val="en-US" w:eastAsia="zh-CN"/>
        </w:rPr>
        <w:t>、</w:t>
      </w:r>
      <w:r>
        <w:rPr>
          <w:rFonts w:hint="eastAsia" w:asciiTheme="minorEastAsia" w:hAnsiTheme="minorEastAsia" w:eastAsiaTheme="minorEastAsia" w:cstheme="minorEastAsia"/>
          <w:b w:val="0"/>
          <w:bCs w:val="0"/>
          <w:i w:val="0"/>
          <w:color w:val="auto"/>
          <w:sz w:val="24"/>
          <w:szCs w:val="24"/>
        </w:rPr>
        <w:t>行动上同党中央保持高度一致，自觉维护中央和省、市委权威，确保政令畅通，做到令行禁止。</w:t>
      </w:r>
    </w:p>
    <w:p w14:paraId="1A4290DC">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第四条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坚持依法依规。切实遵守党章和党内法规，坚持在宪法和法律范围内议事决策。全面贯彻建设法治型党组织要求，严格按规则程序办事，不断提高依法决策水平。</w:t>
      </w:r>
    </w:p>
    <w:p w14:paraId="5B1FF04F">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第五条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突出为民务实。坚持以人为本、执政为民，自觉践行群众路线，全面贯彻党的路线方针政策和上级党委的指示、决定，结合实际推进工作，实现好、维护好、发展好群众根本利益。</w:t>
      </w:r>
    </w:p>
    <w:p w14:paraId="77904F5D">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i w:val="0"/>
          <w:color w:val="auto"/>
          <w:sz w:val="24"/>
          <w:szCs w:val="24"/>
        </w:rPr>
      </w:pPr>
      <w:r>
        <w:rPr>
          <w:rFonts w:hint="eastAsia" w:asciiTheme="minorEastAsia" w:hAnsiTheme="minorEastAsia" w:eastAsiaTheme="minorEastAsia" w:cstheme="minorEastAsia"/>
          <w:b w:val="0"/>
          <w:bCs w:val="0"/>
          <w:i w:val="0"/>
          <w:color w:val="auto"/>
          <w:sz w:val="24"/>
          <w:szCs w:val="24"/>
        </w:rPr>
        <w:t>第六条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严格贯彻民主集中制。坚持集体领导和个人分工负责相结合，提高运用民主方法形成共识、开展工作的本领。坚持按照“集体领导、民主集中、个别酝酿、会议决定”的原则决定重大事项，切实增强决策执行力。</w:t>
      </w:r>
    </w:p>
    <w:p w14:paraId="4DFB46EC">
      <w:pPr>
        <w:pStyle w:val="7"/>
        <w:keepNext w:val="0"/>
        <w:keepLines w:val="0"/>
        <w:pageBreakBefore w:val="0"/>
        <w:widowControl w:val="0"/>
        <w:kinsoku/>
        <w:wordWrap/>
        <w:overflowPunct/>
        <w:topLinePunct w:val="0"/>
        <w:autoSpaceDE/>
        <w:autoSpaceDN w:val="0"/>
        <w:bidi w:val="0"/>
        <w:adjustRightInd/>
        <w:snapToGrid/>
        <w:spacing w:line="240" w:lineRule="exact"/>
        <w:textAlignment w:val="bottom"/>
        <w:rPr>
          <w:rFonts w:hint="eastAsia" w:asciiTheme="minorEastAsia" w:hAnsiTheme="minorEastAsia" w:eastAsiaTheme="minorEastAsia" w:cstheme="minorEastAsia"/>
          <w:b w:val="0"/>
          <w:bCs w:val="0"/>
          <w:sz w:val="24"/>
          <w:szCs w:val="24"/>
        </w:rPr>
      </w:pPr>
    </w:p>
    <w:p w14:paraId="03096C17">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i w:val="0"/>
          <w:color w:val="auto"/>
          <w:sz w:val="24"/>
          <w:szCs w:val="24"/>
        </w:rPr>
        <w:t>第三章  议事范围</w:t>
      </w:r>
    </w:p>
    <w:p w14:paraId="0F73D516">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第七条 </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传达学习中央、省、市委和政府有关文件、指示、重大决策和重要会议精神。</w:t>
      </w:r>
    </w:p>
    <w:p w14:paraId="443C5865">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第八条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w:t>
      </w:r>
      <w:r>
        <w:rPr>
          <w:rFonts w:hint="eastAsia" w:asciiTheme="minorEastAsia" w:hAnsiTheme="minorEastAsia" w:eastAsiaTheme="minorEastAsia" w:cstheme="minorEastAsia"/>
          <w:b w:val="0"/>
          <w:bCs w:val="0"/>
          <w:i w:val="0"/>
          <w:color w:val="auto"/>
          <w:sz w:val="24"/>
          <w:szCs w:val="24"/>
          <w:lang w:eastAsia="zh-CN"/>
        </w:rPr>
        <w:t>医疗保障</w:t>
      </w:r>
      <w:r>
        <w:rPr>
          <w:rFonts w:hint="eastAsia" w:asciiTheme="minorEastAsia" w:hAnsiTheme="minorEastAsia" w:eastAsiaTheme="minorEastAsia" w:cstheme="minorEastAsia"/>
          <w:b w:val="0"/>
          <w:bCs w:val="0"/>
          <w:i w:val="0"/>
          <w:color w:val="auto"/>
          <w:sz w:val="24"/>
          <w:szCs w:val="24"/>
        </w:rPr>
        <w:t>工作重要工作部署、重大改革措施及重大建设项目和重大经费开支。</w:t>
      </w:r>
    </w:p>
    <w:p w14:paraId="53FDAF48">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第九条</w:t>
      </w:r>
      <w:r>
        <w:rPr>
          <w:rFonts w:hint="eastAsia" w:asciiTheme="minorEastAsia" w:hAnsiTheme="minorEastAsia" w:eastAsiaTheme="minorEastAsia" w:cstheme="minorEastAsia"/>
          <w:b w:val="0"/>
          <w:bCs w:val="0"/>
          <w:i w:val="0"/>
          <w:color w:val="auto"/>
          <w:sz w:val="24"/>
          <w:szCs w:val="24"/>
          <w:lang w:val="en-US" w:eastAsia="zh-CN"/>
        </w:rPr>
        <w:t xml:space="preserve"> </w:t>
      </w:r>
      <w:r>
        <w:rPr>
          <w:rFonts w:hint="eastAsia" w:asciiTheme="minorEastAsia" w:hAnsiTheme="minorEastAsia" w:eastAsiaTheme="minorEastAsia" w:cstheme="minorEastAsia"/>
          <w:b w:val="0"/>
          <w:bCs w:val="0"/>
          <w:i w:val="0"/>
          <w:color w:val="auto"/>
          <w:sz w:val="24"/>
          <w:szCs w:val="24"/>
        </w:rPr>
        <w:t>研究制定贯彻上级机关有关</w:t>
      </w:r>
      <w:r>
        <w:rPr>
          <w:rFonts w:hint="eastAsia" w:asciiTheme="minorEastAsia" w:hAnsiTheme="minorEastAsia" w:eastAsiaTheme="minorEastAsia" w:cstheme="minorEastAsia"/>
          <w:b w:val="0"/>
          <w:bCs w:val="0"/>
          <w:i w:val="0"/>
          <w:color w:val="auto"/>
          <w:sz w:val="24"/>
          <w:szCs w:val="24"/>
          <w:lang w:eastAsia="zh-CN"/>
        </w:rPr>
        <w:t>医疗保障</w:t>
      </w:r>
      <w:r>
        <w:rPr>
          <w:rFonts w:hint="eastAsia" w:asciiTheme="minorEastAsia" w:hAnsiTheme="minorEastAsia" w:eastAsiaTheme="minorEastAsia" w:cstheme="minorEastAsia"/>
          <w:b w:val="0"/>
          <w:bCs w:val="0"/>
          <w:i w:val="0"/>
          <w:color w:val="auto"/>
          <w:sz w:val="24"/>
          <w:szCs w:val="24"/>
        </w:rPr>
        <w:t>工作和队伍建设的决议、决定的措施，并对执行过程中的重大问题作出决定。</w:t>
      </w:r>
    </w:p>
    <w:p w14:paraId="42E53F6F">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w:t>
      </w:r>
      <w:r>
        <w:rPr>
          <w:rFonts w:hint="eastAsia" w:asciiTheme="minorEastAsia" w:hAnsiTheme="minorEastAsia" w:eastAsiaTheme="minorEastAsia" w:cstheme="minorEastAsia"/>
          <w:b w:val="0"/>
          <w:bCs w:val="0"/>
          <w:i w:val="0"/>
          <w:color w:val="auto"/>
          <w:sz w:val="24"/>
          <w:szCs w:val="24"/>
          <w:lang w:eastAsia="zh-CN"/>
        </w:rPr>
        <w:t>医疗保障</w:t>
      </w:r>
      <w:r>
        <w:rPr>
          <w:rFonts w:hint="eastAsia" w:asciiTheme="minorEastAsia" w:hAnsiTheme="minorEastAsia" w:eastAsiaTheme="minorEastAsia" w:cstheme="minorEastAsia"/>
          <w:b w:val="0"/>
          <w:bCs w:val="0"/>
          <w:i w:val="0"/>
          <w:color w:val="auto"/>
          <w:sz w:val="24"/>
          <w:szCs w:val="24"/>
        </w:rPr>
        <w:t>队伍思想建设、纪律作风建设、业务建设、基层基础建设和廉政建设等重大事项。</w:t>
      </w:r>
    </w:p>
    <w:p w14:paraId="055DD8FE">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第十一条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研究干部任免、调动、奖惩，干部培养、选拔、教育、管理、监督中的重大问题。</w:t>
      </w:r>
    </w:p>
    <w:p w14:paraId="7B49B3F0">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第十二条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研究干部人事管理、机关管理制度等重大问题。</w:t>
      </w:r>
    </w:p>
    <w:p w14:paraId="79E04412">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第十三条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研究党组班子自身建设中的重大问题。</w:t>
      </w:r>
    </w:p>
    <w:p w14:paraId="00AB9DD1">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第十四条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研究纪律检查、党风廉政建设和反腐败工作中的重要事项以及案件的查处事项。</w:t>
      </w:r>
    </w:p>
    <w:p w14:paraId="56EB0387">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第十五条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研究基层组织建设和党员发展、教育、管理等工作中的重大问题。</w:t>
      </w:r>
    </w:p>
    <w:p w14:paraId="76022A17">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第十六条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研究在财政经费中列支20000元以上的资金安排方案。</w:t>
      </w:r>
    </w:p>
    <w:p w14:paraId="6B731D95">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第十七条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研究涉及社会稳定的重大事件处理、重要信访矛盾化解和重大事故处理意见。</w:t>
      </w:r>
    </w:p>
    <w:p w14:paraId="5E34E938">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第十八条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研究以党组名义公布的奖惩事项。</w:t>
      </w:r>
    </w:p>
    <w:p w14:paraId="6F8F5884">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i w:val="0"/>
          <w:color w:val="auto"/>
          <w:sz w:val="24"/>
          <w:szCs w:val="24"/>
        </w:rPr>
      </w:pPr>
      <w:r>
        <w:rPr>
          <w:rFonts w:hint="eastAsia" w:asciiTheme="minorEastAsia" w:hAnsiTheme="minorEastAsia" w:eastAsiaTheme="minorEastAsia" w:cstheme="minorEastAsia"/>
          <w:b w:val="0"/>
          <w:bCs w:val="0"/>
          <w:i w:val="0"/>
          <w:color w:val="auto"/>
          <w:sz w:val="24"/>
          <w:szCs w:val="24"/>
        </w:rPr>
        <w:t>第十九条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研究决定需要由局党组会决定的其他事项。</w:t>
      </w:r>
    </w:p>
    <w:p w14:paraId="3F44788D">
      <w:pPr>
        <w:pStyle w:val="7"/>
        <w:keepNext w:val="0"/>
        <w:keepLines w:val="0"/>
        <w:pageBreakBefore w:val="0"/>
        <w:widowControl w:val="0"/>
        <w:kinsoku/>
        <w:wordWrap/>
        <w:overflowPunct/>
        <w:topLinePunct w:val="0"/>
        <w:autoSpaceDE/>
        <w:autoSpaceDN w:val="0"/>
        <w:bidi w:val="0"/>
        <w:adjustRightInd/>
        <w:snapToGrid/>
        <w:spacing w:line="240" w:lineRule="exact"/>
        <w:textAlignment w:val="bottom"/>
        <w:rPr>
          <w:rFonts w:hint="eastAsia" w:asciiTheme="minorEastAsia" w:hAnsiTheme="minorEastAsia" w:eastAsiaTheme="minorEastAsia" w:cstheme="minorEastAsia"/>
          <w:b w:val="0"/>
          <w:bCs w:val="0"/>
          <w:sz w:val="24"/>
          <w:szCs w:val="24"/>
        </w:rPr>
      </w:pPr>
    </w:p>
    <w:p w14:paraId="307C1D1F">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i w:val="0"/>
          <w:color w:val="auto"/>
          <w:sz w:val="24"/>
          <w:szCs w:val="24"/>
        </w:rPr>
        <w:t>第四章  议事程序</w:t>
      </w:r>
    </w:p>
    <w:p w14:paraId="45D0D991">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第二十条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党组会决定重大事项主要程序是：</w:t>
      </w:r>
    </w:p>
    <w:p w14:paraId="5BB76D88">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     </w:t>
      </w:r>
      <w:r>
        <w:rPr>
          <w:rFonts w:hint="eastAsia" w:asciiTheme="minorEastAsia" w:hAnsiTheme="minorEastAsia" w:eastAsiaTheme="minorEastAsia" w:cstheme="minorEastAsia"/>
          <w:b w:val="0"/>
          <w:bCs w:val="0"/>
          <w:i w:val="0"/>
          <w:color w:val="auto"/>
          <w:sz w:val="24"/>
          <w:szCs w:val="24"/>
          <w:lang w:val="en-US" w:eastAsia="zh-CN"/>
        </w:rPr>
        <w:t>1.</w:t>
      </w:r>
      <w:r>
        <w:rPr>
          <w:rFonts w:hint="eastAsia" w:asciiTheme="minorEastAsia" w:hAnsiTheme="minorEastAsia" w:eastAsiaTheme="minorEastAsia" w:cstheme="minorEastAsia"/>
          <w:b w:val="0"/>
          <w:bCs w:val="0"/>
          <w:i w:val="0"/>
          <w:color w:val="auto"/>
          <w:sz w:val="24"/>
          <w:szCs w:val="24"/>
        </w:rPr>
        <w:t>确定议题。党组会议题由党组书记根据有关规定和工作需要，在充分听取党组成员意见的基础上确定，或由党组成员提出，党组书记确定。会议议题一经确定，非特殊情况一般不再变动，不临时动议。如确需变动，应报告党组书记同意。</w:t>
      </w:r>
    </w:p>
    <w:p w14:paraId="1E92AE20">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　　</w:t>
      </w:r>
      <w:r>
        <w:rPr>
          <w:rFonts w:hint="eastAsia" w:asciiTheme="minorEastAsia" w:hAnsiTheme="minorEastAsia" w:eastAsiaTheme="minorEastAsia" w:cstheme="minorEastAsia"/>
          <w:b w:val="0"/>
          <w:bCs w:val="0"/>
          <w:i w:val="0"/>
          <w:color w:val="auto"/>
          <w:sz w:val="24"/>
          <w:szCs w:val="24"/>
          <w:lang w:val="en-US" w:eastAsia="zh-CN"/>
        </w:rPr>
        <w:t>2.</w:t>
      </w:r>
      <w:r>
        <w:rPr>
          <w:rFonts w:hint="eastAsia" w:asciiTheme="minorEastAsia" w:hAnsiTheme="minorEastAsia" w:eastAsiaTheme="minorEastAsia" w:cstheme="minorEastAsia"/>
          <w:b w:val="0"/>
          <w:bCs w:val="0"/>
          <w:i w:val="0"/>
          <w:color w:val="auto"/>
          <w:sz w:val="24"/>
          <w:szCs w:val="24"/>
        </w:rPr>
        <w:t>准备材料。需提交党组会研究的议题，相关</w:t>
      </w:r>
      <w:r>
        <w:rPr>
          <w:rFonts w:hint="eastAsia" w:asciiTheme="minorEastAsia" w:hAnsiTheme="minorEastAsia" w:eastAsiaTheme="minorEastAsia" w:cstheme="minorEastAsia"/>
          <w:b w:val="0"/>
          <w:bCs w:val="0"/>
          <w:i w:val="0"/>
          <w:color w:val="auto"/>
          <w:sz w:val="24"/>
          <w:szCs w:val="24"/>
          <w:lang w:eastAsia="zh-CN"/>
        </w:rPr>
        <w:t>科室</w:t>
      </w:r>
      <w:r>
        <w:rPr>
          <w:rFonts w:hint="eastAsia" w:asciiTheme="minorEastAsia" w:hAnsiTheme="minorEastAsia" w:eastAsiaTheme="minorEastAsia" w:cstheme="minorEastAsia"/>
          <w:b w:val="0"/>
          <w:bCs w:val="0"/>
          <w:i w:val="0"/>
          <w:color w:val="auto"/>
          <w:sz w:val="24"/>
          <w:szCs w:val="24"/>
        </w:rPr>
        <w:t>、</w:t>
      </w:r>
      <w:r>
        <w:rPr>
          <w:rFonts w:hint="eastAsia" w:asciiTheme="minorEastAsia" w:hAnsiTheme="minorEastAsia" w:eastAsiaTheme="minorEastAsia" w:cstheme="minorEastAsia"/>
          <w:b w:val="0"/>
          <w:bCs w:val="0"/>
          <w:i w:val="0"/>
          <w:color w:val="auto"/>
          <w:sz w:val="24"/>
          <w:szCs w:val="24"/>
          <w:lang w:eastAsia="zh-CN"/>
        </w:rPr>
        <w:t>直属单位、</w:t>
      </w:r>
      <w:r>
        <w:rPr>
          <w:rFonts w:hint="eastAsia" w:asciiTheme="minorEastAsia" w:hAnsiTheme="minorEastAsia" w:eastAsiaTheme="minorEastAsia" w:cstheme="minorEastAsia"/>
          <w:b w:val="0"/>
          <w:bCs w:val="0"/>
          <w:i w:val="0"/>
          <w:color w:val="auto"/>
          <w:sz w:val="24"/>
          <w:szCs w:val="24"/>
        </w:rPr>
        <w:t>分管领导一般应在会议召开前并提出汇报人、列席人建议名单。根据需要，经党组书记同意后可将有关材料提前印发党组成员征求意见。</w:t>
      </w:r>
    </w:p>
    <w:p w14:paraId="26AA6854">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 xml:space="preserve">  </w:t>
      </w:r>
      <w:r>
        <w:rPr>
          <w:rFonts w:hint="eastAsia" w:asciiTheme="minorEastAsia" w:hAnsiTheme="minorEastAsia" w:eastAsiaTheme="minorEastAsia" w:cstheme="minorEastAsia"/>
          <w:b w:val="0"/>
          <w:bCs w:val="0"/>
          <w:i w:val="0"/>
          <w:color w:val="auto"/>
          <w:sz w:val="24"/>
          <w:szCs w:val="24"/>
          <w:lang w:val="en-US" w:eastAsia="zh-CN"/>
        </w:rPr>
        <w:t xml:space="preserve">   3.</w:t>
      </w:r>
      <w:r>
        <w:rPr>
          <w:rFonts w:hint="eastAsia" w:asciiTheme="minorEastAsia" w:hAnsiTheme="minorEastAsia" w:eastAsiaTheme="minorEastAsia" w:cstheme="minorEastAsia"/>
          <w:b w:val="0"/>
          <w:bCs w:val="0"/>
          <w:i w:val="0"/>
          <w:color w:val="auto"/>
          <w:sz w:val="24"/>
          <w:szCs w:val="24"/>
        </w:rPr>
        <w:t>酝酿意见。对提交党组会研究的议题，党组成员应按照分工事先组织有关方面进行充分酝酿、协调，形成比较成熟的意见。需要提交党组会审议的重要事项，可先由党组书记和有关党组成员进行酝酿，也可由党组书记委托有关党组成员进行酝酿。</w:t>
      </w:r>
    </w:p>
    <w:p w14:paraId="6E92BB0F">
      <w:pPr>
        <w:pStyle w:val="14"/>
        <w:keepNext w:val="0"/>
        <w:keepLines w:val="0"/>
        <w:pageBreakBefore w:val="0"/>
        <w:widowControl/>
        <w:suppressLineNumbers w:val="0"/>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lang w:val="en-US" w:eastAsia="zh-CN"/>
        </w:rPr>
        <w:t>4.</w:t>
      </w:r>
      <w:r>
        <w:rPr>
          <w:rFonts w:hint="eastAsia" w:asciiTheme="minorEastAsia" w:hAnsiTheme="minorEastAsia" w:eastAsiaTheme="minorEastAsia" w:cstheme="minorEastAsia"/>
          <w:b w:val="0"/>
          <w:bCs w:val="0"/>
          <w:i w:val="0"/>
          <w:color w:val="auto"/>
          <w:sz w:val="24"/>
          <w:szCs w:val="24"/>
        </w:rPr>
        <w:t>讨论表决。党组会由党组书记主持。会议一般应遵循以下程序：由议题的主要提出人就议题作简要说明；与会人员就议题发表意见；会议主持人归纳讨论情况，提出初步意见；到会党组成员进行表决。党组会讨论决定重要事项时，须充分发扬民主。会议表决可根据讨论事项的不同内容，采取口头、举手或投票方式。与会党组成员应明确表态是否同意或弃权；未到会党组成员可用书面形式表达意见。对于意见分歧较大的议题，除紧急事项外，应当暂缓作出决定。对人事任免的表决，赞成票超过应到党组成员的二分之一为通过。任何个人不得擅自改变党组会投票表决的人事任免事项。</w:t>
      </w:r>
    </w:p>
    <w:p w14:paraId="76CCBFA7">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 xml:space="preserve">  </w:t>
      </w:r>
      <w:r>
        <w:rPr>
          <w:rFonts w:hint="eastAsia" w:asciiTheme="minorEastAsia" w:hAnsiTheme="minorEastAsia" w:eastAsiaTheme="minorEastAsia" w:cstheme="minorEastAsia"/>
          <w:b w:val="0"/>
          <w:bCs w:val="0"/>
          <w:i w:val="0"/>
          <w:color w:val="auto"/>
          <w:sz w:val="24"/>
          <w:szCs w:val="24"/>
          <w:lang w:val="en-US" w:eastAsia="zh-CN"/>
        </w:rPr>
        <w:t xml:space="preserve">  </w:t>
      </w:r>
      <w:r>
        <w:rPr>
          <w:rFonts w:hint="eastAsia" w:asciiTheme="minorEastAsia" w:hAnsiTheme="minorEastAsia" w:eastAsiaTheme="minorEastAsia" w:cstheme="minorEastAsia"/>
          <w:b w:val="0"/>
          <w:bCs w:val="0"/>
          <w:i w:val="0"/>
          <w:color w:val="auto"/>
          <w:sz w:val="24"/>
          <w:szCs w:val="24"/>
        </w:rPr>
        <w:t> </w:t>
      </w:r>
      <w:r>
        <w:rPr>
          <w:rFonts w:hint="eastAsia" w:asciiTheme="minorEastAsia" w:hAnsiTheme="minorEastAsia" w:eastAsiaTheme="minorEastAsia" w:cstheme="minorEastAsia"/>
          <w:b w:val="0"/>
          <w:bCs w:val="0"/>
          <w:i w:val="0"/>
          <w:color w:val="auto"/>
          <w:sz w:val="24"/>
          <w:szCs w:val="24"/>
          <w:lang w:val="en-US" w:eastAsia="zh-CN"/>
        </w:rPr>
        <w:t>5.</w:t>
      </w:r>
      <w:r>
        <w:rPr>
          <w:rFonts w:hint="eastAsia" w:asciiTheme="minorEastAsia" w:hAnsiTheme="minorEastAsia" w:eastAsiaTheme="minorEastAsia" w:cstheme="minorEastAsia"/>
          <w:b w:val="0"/>
          <w:bCs w:val="0"/>
          <w:i w:val="0"/>
          <w:color w:val="auto"/>
          <w:sz w:val="24"/>
          <w:szCs w:val="24"/>
        </w:rPr>
        <w:t>形成</w:t>
      </w:r>
      <w:r>
        <w:rPr>
          <w:rFonts w:hint="eastAsia" w:asciiTheme="minorEastAsia" w:hAnsiTheme="minorEastAsia" w:eastAsiaTheme="minorEastAsia" w:cstheme="minorEastAsia"/>
          <w:b w:val="0"/>
          <w:bCs w:val="0"/>
          <w:i w:val="0"/>
          <w:color w:val="auto"/>
          <w:sz w:val="24"/>
          <w:szCs w:val="24"/>
          <w:lang w:eastAsia="zh-CN"/>
        </w:rPr>
        <w:t>党组会议记录</w:t>
      </w:r>
      <w:r>
        <w:rPr>
          <w:rFonts w:hint="eastAsia" w:asciiTheme="minorEastAsia" w:hAnsiTheme="minorEastAsia" w:eastAsiaTheme="minorEastAsia" w:cstheme="minorEastAsia"/>
          <w:b w:val="0"/>
          <w:bCs w:val="0"/>
          <w:i w:val="0"/>
          <w:color w:val="auto"/>
          <w:sz w:val="24"/>
          <w:szCs w:val="24"/>
        </w:rPr>
        <w:t>。由</w:t>
      </w:r>
      <w:r>
        <w:rPr>
          <w:rFonts w:hint="eastAsia" w:asciiTheme="minorEastAsia" w:hAnsiTheme="minorEastAsia" w:eastAsiaTheme="minorEastAsia" w:cstheme="minorEastAsia"/>
          <w:b w:val="0"/>
          <w:bCs w:val="0"/>
          <w:i w:val="0"/>
          <w:color w:val="auto"/>
          <w:sz w:val="24"/>
          <w:szCs w:val="24"/>
          <w:lang w:eastAsia="zh-CN"/>
        </w:rPr>
        <w:t>机关党总支</w:t>
      </w:r>
      <w:r>
        <w:rPr>
          <w:rFonts w:hint="eastAsia" w:asciiTheme="minorEastAsia" w:hAnsiTheme="minorEastAsia" w:eastAsiaTheme="minorEastAsia" w:cstheme="minorEastAsia"/>
          <w:b w:val="0"/>
          <w:bCs w:val="0"/>
          <w:i w:val="0"/>
          <w:color w:val="auto"/>
          <w:sz w:val="24"/>
          <w:szCs w:val="24"/>
        </w:rPr>
        <w:t>负责做好会议记录工作。</w:t>
      </w:r>
    </w:p>
    <w:p w14:paraId="1BE975E3">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i w:val="0"/>
          <w:color w:val="auto"/>
          <w:sz w:val="24"/>
          <w:szCs w:val="24"/>
        </w:rPr>
        <w:t>第五章  议事纪律</w:t>
      </w:r>
    </w:p>
    <w:p w14:paraId="113319D4">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第二十一条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党组会必须有半数以上的党组成员到会方能召开。讨论干部任免、奖惩及其他重大事项时，必须有三分之二以上党组成员参加。</w:t>
      </w:r>
    </w:p>
    <w:p w14:paraId="0A92B1A6">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第二十二条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原则上每月召开一次党组会，必要时可提前或推迟召开，如遇紧急情况可临时召开。</w:t>
      </w:r>
    </w:p>
    <w:p w14:paraId="19275CB7">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 </w:t>
      </w:r>
      <w:r>
        <w:rPr>
          <w:rFonts w:hint="eastAsia" w:asciiTheme="minorEastAsia" w:hAnsiTheme="minorEastAsia" w:eastAsiaTheme="minorEastAsia" w:cstheme="minorEastAsia"/>
          <w:b w:val="0"/>
          <w:bCs w:val="0"/>
          <w:i w:val="0"/>
          <w:color w:val="auto"/>
          <w:sz w:val="24"/>
          <w:szCs w:val="24"/>
          <w:lang w:val="en-US" w:eastAsia="zh-CN"/>
        </w:rPr>
        <w:t xml:space="preserve">   </w:t>
      </w:r>
      <w:r>
        <w:rPr>
          <w:rFonts w:hint="eastAsia" w:asciiTheme="minorEastAsia" w:hAnsiTheme="minorEastAsia" w:eastAsiaTheme="minorEastAsia" w:cstheme="minorEastAsia"/>
          <w:b w:val="0"/>
          <w:bCs w:val="0"/>
          <w:i w:val="0"/>
          <w:color w:val="auto"/>
          <w:sz w:val="24"/>
          <w:szCs w:val="24"/>
        </w:rPr>
        <w:t>第二十</w:t>
      </w:r>
      <w:r>
        <w:rPr>
          <w:rFonts w:hint="eastAsia" w:asciiTheme="minorEastAsia" w:hAnsiTheme="minorEastAsia" w:eastAsiaTheme="minorEastAsia" w:cstheme="minorEastAsia"/>
          <w:b w:val="0"/>
          <w:bCs w:val="0"/>
          <w:i w:val="0"/>
          <w:color w:val="auto"/>
          <w:sz w:val="24"/>
          <w:szCs w:val="24"/>
          <w:lang w:eastAsia="zh-CN"/>
        </w:rPr>
        <w:t>三</w:t>
      </w:r>
      <w:r>
        <w:rPr>
          <w:rFonts w:hint="eastAsia" w:asciiTheme="minorEastAsia" w:hAnsiTheme="minorEastAsia" w:eastAsiaTheme="minorEastAsia" w:cstheme="minorEastAsia"/>
          <w:b w:val="0"/>
          <w:bCs w:val="0"/>
          <w:i w:val="0"/>
          <w:color w:val="auto"/>
          <w:sz w:val="24"/>
          <w:szCs w:val="24"/>
        </w:rPr>
        <w:t>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党组会的集体决议、决定，党组会</w:t>
      </w:r>
      <w:r>
        <w:rPr>
          <w:rFonts w:hint="eastAsia" w:asciiTheme="minorEastAsia" w:hAnsiTheme="minorEastAsia" w:eastAsiaTheme="minorEastAsia" w:cstheme="minorEastAsia"/>
          <w:b w:val="0"/>
          <w:bCs w:val="0"/>
          <w:i w:val="0"/>
          <w:color w:val="auto"/>
          <w:sz w:val="24"/>
          <w:szCs w:val="24"/>
          <w:lang w:val="en-US" w:eastAsia="zh-CN"/>
        </w:rPr>
        <w:t>议</w:t>
      </w:r>
      <w:r>
        <w:rPr>
          <w:rFonts w:hint="eastAsia" w:asciiTheme="minorEastAsia" w:hAnsiTheme="minorEastAsia" w:eastAsiaTheme="minorEastAsia" w:cstheme="minorEastAsia"/>
          <w:b w:val="0"/>
          <w:bCs w:val="0"/>
          <w:i w:val="0"/>
          <w:color w:val="auto"/>
          <w:sz w:val="24"/>
          <w:szCs w:val="24"/>
        </w:rPr>
        <w:t>成员必须坚决执行，个人无权改变，因特殊情况确需改变的，由党组会</w:t>
      </w:r>
      <w:r>
        <w:rPr>
          <w:rFonts w:hint="eastAsia" w:asciiTheme="minorEastAsia" w:hAnsiTheme="minorEastAsia" w:eastAsiaTheme="minorEastAsia" w:cstheme="minorEastAsia"/>
          <w:b w:val="0"/>
          <w:bCs w:val="0"/>
          <w:i w:val="0"/>
          <w:color w:val="auto"/>
          <w:sz w:val="24"/>
          <w:szCs w:val="24"/>
          <w:lang w:val="en-US" w:eastAsia="zh-CN"/>
        </w:rPr>
        <w:t>议</w:t>
      </w:r>
      <w:r>
        <w:rPr>
          <w:rFonts w:hint="eastAsia" w:asciiTheme="minorEastAsia" w:hAnsiTheme="minorEastAsia" w:eastAsiaTheme="minorEastAsia" w:cstheme="minorEastAsia"/>
          <w:b w:val="0"/>
          <w:bCs w:val="0"/>
          <w:i w:val="0"/>
          <w:color w:val="auto"/>
          <w:sz w:val="24"/>
          <w:szCs w:val="24"/>
        </w:rPr>
        <w:t>集体研究决定。党组成员个人意见被党组会否决后，允许保留，但在未作出新的决议之前，必须认真执行党组会的决议、决定。</w:t>
      </w:r>
    </w:p>
    <w:p w14:paraId="35E4B72E">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第二十</w:t>
      </w:r>
      <w:r>
        <w:rPr>
          <w:rFonts w:hint="eastAsia" w:asciiTheme="minorEastAsia" w:hAnsiTheme="minorEastAsia" w:eastAsiaTheme="minorEastAsia" w:cstheme="minorEastAsia"/>
          <w:b w:val="0"/>
          <w:bCs w:val="0"/>
          <w:i w:val="0"/>
          <w:color w:val="auto"/>
          <w:sz w:val="24"/>
          <w:szCs w:val="24"/>
          <w:lang w:eastAsia="zh-CN"/>
        </w:rPr>
        <w:t>四</w:t>
      </w:r>
      <w:r>
        <w:rPr>
          <w:rFonts w:hint="eastAsia" w:asciiTheme="minorEastAsia" w:hAnsiTheme="minorEastAsia" w:eastAsiaTheme="minorEastAsia" w:cstheme="minorEastAsia"/>
          <w:b w:val="0"/>
          <w:bCs w:val="0"/>
          <w:i w:val="0"/>
          <w:color w:val="auto"/>
          <w:sz w:val="24"/>
          <w:szCs w:val="24"/>
        </w:rPr>
        <w:t>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党组会内容除经组织同意在党内传达或对外公布外，与会人员不得向外传播或泄露，违者按有关规定严肃处理。</w:t>
      </w:r>
    </w:p>
    <w:p w14:paraId="5765585B">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第二十六条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党组成员以及列席党组会的同志要按时出席和列席会议，因故不能出席和列席会议的要向会议主持人请假。</w:t>
      </w:r>
    </w:p>
    <w:p w14:paraId="0D0CC164">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i w:val="0"/>
          <w:color w:val="auto"/>
          <w:sz w:val="24"/>
          <w:szCs w:val="24"/>
        </w:rPr>
        <w:t>第六章  附则</w:t>
      </w:r>
    </w:p>
    <w:p w14:paraId="7F8AAA3B">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第二十七条</w:t>
      </w:r>
      <w:r>
        <w:rPr>
          <w:rFonts w:hint="eastAsia" w:asciiTheme="minorEastAsia" w:hAnsiTheme="minorEastAsia" w:eastAsiaTheme="minorEastAsia" w:cstheme="minorEastAsia"/>
          <w:b w:val="0"/>
          <w:bCs w:val="0"/>
          <w:i w:val="0"/>
          <w:color w:val="auto"/>
          <w:sz w:val="24"/>
          <w:szCs w:val="24"/>
          <w:lang w:val="en-US"/>
        </w:rPr>
        <w:t xml:space="preserve"> </w:t>
      </w:r>
      <w:r>
        <w:rPr>
          <w:rFonts w:hint="eastAsia" w:asciiTheme="minorEastAsia" w:hAnsiTheme="minorEastAsia" w:eastAsiaTheme="minorEastAsia" w:cstheme="minorEastAsia"/>
          <w:b w:val="0"/>
          <w:bCs w:val="0"/>
          <w:i w:val="0"/>
          <w:color w:val="auto"/>
          <w:sz w:val="24"/>
          <w:szCs w:val="24"/>
        </w:rPr>
        <w:t>本规则所涉及内容，凡党和国家的政策、法律法规另有规定的，从其规定。</w:t>
      </w:r>
    </w:p>
    <w:p w14:paraId="1035AB1B">
      <w:pPr>
        <w:pStyle w:val="14"/>
        <w:keepNext w:val="0"/>
        <w:keepLines w:val="0"/>
        <w:pageBreakBefore w:val="0"/>
        <w:widowControl/>
        <w:suppressLineNumbers w:val="0"/>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color w:val="auto"/>
          <w:sz w:val="24"/>
          <w:szCs w:val="24"/>
        </w:rPr>
        <w:t>第二十八条  本规则自发布之日起施行。</w:t>
      </w:r>
    </w:p>
    <w:p w14:paraId="276901D2">
      <w:pPr>
        <w:pageBreakBefore w:val="0"/>
        <w:kinsoku/>
        <w:overflowPunct/>
        <w:topLinePunct w:val="0"/>
        <w:bidi w:val="0"/>
        <w:jc w:val="both"/>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11C03737">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局长办公会议制度</w:t>
      </w:r>
    </w:p>
    <w:p w14:paraId="5F6E64E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为加强全局工作的领导和协调，规范局长办公会议议事程序、内容、方法和议定事项的贯彻落实，根据</w:t>
      </w:r>
      <w:r>
        <w:rPr>
          <w:rFonts w:hint="eastAsia" w:asciiTheme="minorEastAsia" w:hAnsiTheme="minorEastAsia" w:eastAsiaTheme="minorEastAsia" w:cstheme="minorEastAsia"/>
          <w:b w:val="0"/>
          <w:bCs w:val="0"/>
          <w:color w:val="auto"/>
          <w:sz w:val="24"/>
          <w:szCs w:val="24"/>
          <w:lang w:eastAsia="zh-CN"/>
        </w:rPr>
        <w:t>相关</w:t>
      </w:r>
      <w:r>
        <w:rPr>
          <w:rFonts w:hint="eastAsia" w:asciiTheme="minorEastAsia" w:hAnsiTheme="minorEastAsia" w:eastAsiaTheme="minorEastAsia" w:cstheme="minorEastAsia"/>
          <w:b w:val="0"/>
          <w:bCs w:val="0"/>
          <w:color w:val="auto"/>
          <w:sz w:val="24"/>
          <w:szCs w:val="24"/>
        </w:rPr>
        <w:t>工作规范，结合</w:t>
      </w:r>
      <w:r>
        <w:rPr>
          <w:rFonts w:hint="eastAsia" w:asciiTheme="minorEastAsia" w:hAnsiTheme="minorEastAsia" w:eastAsiaTheme="minorEastAsia" w:cstheme="minorEastAsia"/>
          <w:b w:val="0"/>
          <w:bCs w:val="0"/>
          <w:color w:val="auto"/>
          <w:sz w:val="24"/>
          <w:szCs w:val="24"/>
          <w:lang w:val="en-US" w:eastAsia="zh-CN"/>
        </w:rPr>
        <w:t>白城市医疗保障</w:t>
      </w:r>
      <w:r>
        <w:rPr>
          <w:rFonts w:hint="eastAsia" w:asciiTheme="minorEastAsia" w:hAnsiTheme="minorEastAsia" w:eastAsiaTheme="minorEastAsia" w:cstheme="minorEastAsia"/>
          <w:b w:val="0"/>
          <w:bCs w:val="0"/>
          <w:color w:val="auto"/>
          <w:sz w:val="24"/>
          <w:szCs w:val="24"/>
        </w:rPr>
        <w:t>局</w:t>
      </w:r>
      <w:r>
        <w:rPr>
          <w:rFonts w:hint="eastAsia" w:asciiTheme="minorEastAsia" w:hAnsiTheme="minorEastAsia" w:eastAsiaTheme="minorEastAsia" w:cstheme="minorEastAsia"/>
          <w:b w:val="0"/>
          <w:bCs w:val="0"/>
          <w:color w:val="auto"/>
          <w:sz w:val="24"/>
          <w:szCs w:val="24"/>
          <w:lang w:val="en-US" w:eastAsia="zh-CN"/>
        </w:rPr>
        <w:t>工作</w:t>
      </w:r>
      <w:r>
        <w:rPr>
          <w:rFonts w:hint="eastAsia" w:asciiTheme="minorEastAsia" w:hAnsiTheme="minorEastAsia" w:eastAsiaTheme="minorEastAsia" w:cstheme="minorEastAsia"/>
          <w:b w:val="0"/>
          <w:bCs w:val="0"/>
          <w:color w:val="auto"/>
          <w:sz w:val="24"/>
          <w:szCs w:val="24"/>
        </w:rPr>
        <w:t>实际情况，制定本制度。</w:t>
      </w:r>
    </w:p>
    <w:p w14:paraId="0A7C8638">
      <w:pPr>
        <w:pStyle w:val="26"/>
        <w:pageBreakBefore w:val="0"/>
        <w:tabs>
          <w:tab w:val="left" w:pos="5962"/>
        </w:tabs>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局长办公会由局长或其委托的副局长召集和主持。局长办公会议由办公室承办，具体会务工作由办公室负责。</w:t>
      </w:r>
    </w:p>
    <w:p w14:paraId="3203A00B">
      <w:pPr>
        <w:pStyle w:val="26"/>
        <w:pageBreakBefore w:val="0"/>
        <w:tabs>
          <w:tab w:val="left" w:pos="5962"/>
        </w:tabs>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第一条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与会范围</w:t>
      </w:r>
    </w:p>
    <w:p w14:paraId="65607BA8">
      <w:pPr>
        <w:pStyle w:val="26"/>
        <w:pageBreakBefore w:val="0"/>
        <w:tabs>
          <w:tab w:val="left" w:pos="5962"/>
        </w:tabs>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出席范围：局长、副局长。出席人员须达半数以上方可开会</w:t>
      </w:r>
      <w:r>
        <w:rPr>
          <w:rFonts w:hint="eastAsia" w:asciiTheme="minorEastAsia" w:hAnsiTheme="minorEastAsia" w:eastAsiaTheme="minorEastAsia" w:cstheme="minorEastAsia"/>
          <w:b w:val="0"/>
          <w:bCs w:val="0"/>
          <w:color w:val="auto"/>
          <w:sz w:val="24"/>
          <w:szCs w:val="24"/>
          <w:lang w:eastAsia="zh-CN"/>
        </w:rPr>
        <w:t>；</w:t>
      </w:r>
    </w:p>
    <w:p w14:paraId="6D8FE714">
      <w:pPr>
        <w:pStyle w:val="26"/>
        <w:pageBreakBefore w:val="0"/>
        <w:tabs>
          <w:tab w:val="left" w:pos="5962"/>
        </w:tabs>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列席人员：</w:t>
      </w:r>
      <w:r>
        <w:rPr>
          <w:rFonts w:hint="eastAsia" w:asciiTheme="minorEastAsia" w:hAnsiTheme="minorEastAsia" w:eastAsiaTheme="minorEastAsia" w:cstheme="minorEastAsia"/>
          <w:b w:val="0"/>
          <w:bCs w:val="0"/>
          <w:color w:val="auto"/>
          <w:sz w:val="24"/>
          <w:szCs w:val="24"/>
          <w:lang w:eastAsia="zh-CN"/>
        </w:rPr>
        <w:t>调研</w:t>
      </w:r>
      <w:r>
        <w:rPr>
          <w:rFonts w:hint="eastAsia" w:asciiTheme="minorEastAsia" w:hAnsiTheme="minorEastAsia" w:eastAsiaTheme="minorEastAsia" w:cstheme="minorEastAsia"/>
          <w:b w:val="0"/>
          <w:bCs w:val="0"/>
          <w:color w:val="auto"/>
          <w:sz w:val="24"/>
          <w:szCs w:val="24"/>
        </w:rPr>
        <w:t>员、办公室主任、机关党委专职副书记。根据会议需要，局领导指定的其他人员及议题涉及的相关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负责人列席会议</w:t>
      </w:r>
      <w:r>
        <w:rPr>
          <w:rFonts w:hint="eastAsia" w:asciiTheme="minorEastAsia" w:hAnsiTheme="minorEastAsia" w:eastAsiaTheme="minorEastAsia" w:cstheme="minorEastAsia"/>
          <w:b w:val="0"/>
          <w:bCs w:val="0"/>
          <w:color w:val="auto"/>
          <w:sz w:val="24"/>
          <w:szCs w:val="24"/>
          <w:lang w:eastAsia="zh-CN"/>
        </w:rPr>
        <w:t>；</w:t>
      </w:r>
    </w:p>
    <w:p w14:paraId="371331A1">
      <w:pPr>
        <w:pStyle w:val="26"/>
        <w:pageBreakBefore w:val="0"/>
        <w:tabs>
          <w:tab w:val="left" w:pos="5962"/>
        </w:tabs>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如需召开局长办公（扩大）会议，各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室（单位）主要负责人列席会议</w:t>
      </w:r>
      <w:r>
        <w:rPr>
          <w:rFonts w:hint="eastAsia" w:asciiTheme="minorEastAsia" w:hAnsiTheme="minorEastAsia" w:eastAsiaTheme="minorEastAsia" w:cstheme="minorEastAsia"/>
          <w:b w:val="0"/>
          <w:bCs w:val="0"/>
          <w:color w:val="auto"/>
          <w:sz w:val="24"/>
          <w:szCs w:val="24"/>
          <w:lang w:eastAsia="zh-CN"/>
        </w:rPr>
        <w:t>。</w:t>
      </w:r>
    </w:p>
    <w:p w14:paraId="431035FA">
      <w:pPr>
        <w:pStyle w:val="26"/>
        <w:pageBreakBefore w:val="0"/>
        <w:tabs>
          <w:tab w:val="left" w:pos="5962"/>
        </w:tabs>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第二条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会议内容</w:t>
      </w:r>
    </w:p>
    <w:p w14:paraId="35F9AB25">
      <w:pPr>
        <w:pStyle w:val="25"/>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传达学习党中央、国务院和上级重要会议及有关部门文件精神，研究贯彻落实意见;研究落实</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委</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政府和</w:t>
      </w:r>
      <w:r>
        <w:rPr>
          <w:rFonts w:hint="eastAsia" w:asciiTheme="minorEastAsia" w:hAnsiTheme="minorEastAsia" w:eastAsiaTheme="minorEastAsia" w:cstheme="minorEastAsia"/>
          <w:b w:val="0"/>
          <w:bCs w:val="0"/>
          <w:color w:val="auto"/>
          <w:sz w:val="24"/>
          <w:szCs w:val="24"/>
          <w:lang w:eastAsia="zh-CN"/>
        </w:rPr>
        <w:t>省</w:t>
      </w:r>
      <w:r>
        <w:rPr>
          <w:rFonts w:hint="eastAsia" w:asciiTheme="minorEastAsia" w:hAnsiTheme="minorEastAsia" w:eastAsiaTheme="minorEastAsia" w:cstheme="minorEastAsia"/>
          <w:b w:val="0"/>
          <w:bCs w:val="0"/>
          <w:color w:val="auto"/>
          <w:sz w:val="24"/>
          <w:szCs w:val="24"/>
        </w:rPr>
        <w:t>医疗保障局交办的重要工作</w:t>
      </w:r>
      <w:r>
        <w:rPr>
          <w:rFonts w:hint="eastAsia" w:asciiTheme="minorEastAsia" w:hAnsiTheme="minorEastAsia" w:eastAsiaTheme="minorEastAsia" w:cstheme="minorEastAsia"/>
          <w:b w:val="0"/>
          <w:bCs w:val="0"/>
          <w:color w:val="auto"/>
          <w:sz w:val="24"/>
          <w:szCs w:val="24"/>
          <w:lang w:eastAsia="zh-CN"/>
        </w:rPr>
        <w:t>。</w:t>
      </w:r>
    </w:p>
    <w:p w14:paraId="14A95D1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研究拟召开的系统综合性和专业性工作会议；审定上报的重要材料、代上级起草的重要文稿及局领导重要讲话</w:t>
      </w:r>
      <w:r>
        <w:rPr>
          <w:rFonts w:hint="eastAsia" w:asciiTheme="minorEastAsia" w:hAnsiTheme="minorEastAsia" w:eastAsiaTheme="minorEastAsia" w:cstheme="minorEastAsia"/>
          <w:b w:val="0"/>
          <w:bCs w:val="0"/>
          <w:color w:val="auto"/>
          <w:sz w:val="24"/>
          <w:szCs w:val="24"/>
          <w:lang w:eastAsia="zh-CN"/>
        </w:rPr>
        <w:t>。</w:t>
      </w:r>
    </w:p>
    <w:p w14:paraId="2DC2A172">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讨论拟制发的重要政策性、法规性、规划性文件和工作中的重大事项；研究决定或部署全</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医疗保障改革与发展重要事项</w:t>
      </w:r>
      <w:r>
        <w:rPr>
          <w:rFonts w:hint="eastAsia" w:asciiTheme="minorEastAsia" w:hAnsiTheme="minorEastAsia" w:eastAsiaTheme="minorEastAsia" w:cstheme="minorEastAsia"/>
          <w:b w:val="0"/>
          <w:bCs w:val="0"/>
          <w:color w:val="auto"/>
          <w:sz w:val="24"/>
          <w:szCs w:val="24"/>
          <w:lang w:eastAsia="zh-CN"/>
        </w:rPr>
        <w:t>。</w:t>
      </w:r>
    </w:p>
    <w:p w14:paraId="728D861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讨论年度财务预算、决算报告，审批机关及事业单位大额经费使用、重大资产处置等决策事项</w:t>
      </w:r>
      <w:r>
        <w:rPr>
          <w:rFonts w:hint="eastAsia" w:asciiTheme="minorEastAsia" w:hAnsiTheme="minorEastAsia" w:eastAsiaTheme="minorEastAsia" w:cstheme="minorEastAsia"/>
          <w:b w:val="0"/>
          <w:bCs w:val="0"/>
          <w:color w:val="auto"/>
          <w:sz w:val="24"/>
          <w:szCs w:val="24"/>
          <w:lang w:eastAsia="zh-CN"/>
        </w:rPr>
        <w:t>。</w:t>
      </w:r>
    </w:p>
    <w:p w14:paraId="73EAC082">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研究决定各</w:t>
      </w:r>
      <w:r>
        <w:rPr>
          <w:rFonts w:hint="eastAsia" w:asciiTheme="minorEastAsia" w:hAnsiTheme="minorEastAsia" w:eastAsiaTheme="minorEastAsia" w:cstheme="minorEastAsia"/>
          <w:b w:val="0"/>
          <w:bCs w:val="0"/>
          <w:color w:val="auto"/>
          <w:sz w:val="24"/>
          <w:szCs w:val="24"/>
          <w:lang w:eastAsia="zh-CN"/>
        </w:rPr>
        <w:t>县</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）局</w:t>
      </w:r>
      <w:r>
        <w:rPr>
          <w:rFonts w:hint="eastAsia" w:asciiTheme="minorEastAsia" w:hAnsiTheme="minorEastAsia" w:eastAsiaTheme="minorEastAsia" w:cstheme="minorEastAsia"/>
          <w:b w:val="0"/>
          <w:bCs w:val="0"/>
          <w:color w:val="auto"/>
          <w:sz w:val="24"/>
          <w:szCs w:val="24"/>
          <w:lang w:eastAsia="zh-CN"/>
        </w:rPr>
        <w:t>、直属单位</w:t>
      </w:r>
      <w:r>
        <w:rPr>
          <w:rFonts w:hint="eastAsia" w:asciiTheme="minorEastAsia" w:hAnsiTheme="minorEastAsia" w:eastAsiaTheme="minorEastAsia" w:cstheme="minorEastAsia"/>
          <w:b w:val="0"/>
          <w:bCs w:val="0"/>
          <w:color w:val="auto"/>
          <w:sz w:val="24"/>
          <w:szCs w:val="24"/>
        </w:rPr>
        <w:t>请示</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局的重要事项</w:t>
      </w:r>
      <w:r>
        <w:rPr>
          <w:rFonts w:hint="eastAsia" w:asciiTheme="minorEastAsia" w:hAnsiTheme="minorEastAsia" w:eastAsiaTheme="minorEastAsia" w:cstheme="minorEastAsia"/>
          <w:b w:val="0"/>
          <w:bCs w:val="0"/>
          <w:color w:val="auto"/>
          <w:sz w:val="24"/>
          <w:szCs w:val="24"/>
          <w:lang w:eastAsia="zh-CN"/>
        </w:rPr>
        <w:t>。</w:t>
      </w:r>
    </w:p>
    <w:p w14:paraId="6130B18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局领导提议讨论和通报的其他重大问题。</w:t>
      </w:r>
    </w:p>
    <w:p w14:paraId="11F407B3">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第三条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会期安排</w:t>
      </w:r>
    </w:p>
    <w:p w14:paraId="4EC4CF1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局长办公会议实行例会制，</w:t>
      </w:r>
      <w:r>
        <w:rPr>
          <w:rFonts w:hint="eastAsia" w:asciiTheme="minorEastAsia" w:hAnsiTheme="minorEastAsia" w:eastAsiaTheme="minorEastAsia" w:cstheme="minorEastAsia"/>
          <w:b w:val="0"/>
          <w:bCs w:val="0"/>
          <w:color w:val="auto"/>
          <w:sz w:val="24"/>
          <w:szCs w:val="24"/>
          <w:lang w:eastAsia="zh-CN"/>
        </w:rPr>
        <w:t>原则</w:t>
      </w:r>
      <w:r>
        <w:rPr>
          <w:rFonts w:hint="eastAsia" w:asciiTheme="minorEastAsia" w:hAnsiTheme="minorEastAsia" w:eastAsiaTheme="minorEastAsia" w:cstheme="minorEastAsia"/>
          <w:b w:val="0"/>
          <w:bCs w:val="0"/>
          <w:color w:val="auto"/>
          <w:sz w:val="24"/>
          <w:szCs w:val="24"/>
        </w:rPr>
        <w:t>每个月至少召开1次，遇有特殊情况需要顺延的，由局长审定后，确定具体开会时间；如有需要可临时召开。</w:t>
      </w:r>
    </w:p>
    <w:p w14:paraId="06F22A80">
      <w:pPr>
        <w:pStyle w:val="26"/>
        <w:pageBreakBefore w:val="0"/>
        <w:tabs>
          <w:tab w:val="left" w:pos="5962"/>
        </w:tabs>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第四条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议题确定</w:t>
      </w:r>
    </w:p>
    <w:p w14:paraId="021428E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为确保局长办公会议决策质量和效率，议题确定要履行严格的报请、审核、批准程序。</w:t>
      </w:r>
    </w:p>
    <w:p w14:paraId="20B8B9E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1.凡提请局长办公会议讨论的事项，应符合国家</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省</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有关法规、政策规定和我局实际</w:t>
      </w:r>
      <w:r>
        <w:rPr>
          <w:rFonts w:hint="eastAsia" w:asciiTheme="minorEastAsia" w:hAnsiTheme="minorEastAsia" w:eastAsiaTheme="minorEastAsia" w:cstheme="minorEastAsia"/>
          <w:b w:val="0"/>
          <w:bCs w:val="0"/>
          <w:color w:val="auto"/>
          <w:sz w:val="24"/>
          <w:szCs w:val="24"/>
          <w:lang w:eastAsia="zh-CN"/>
        </w:rPr>
        <w:t>。</w:t>
      </w:r>
    </w:p>
    <w:p w14:paraId="097DDEC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2.提请局长办公会议研究的议题，如涉及两个（含）以上</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室（单位）职权范围或业务分工有交叉的，承办</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室（单位）要切实做好沟通协商，事先必须征求意见，相关</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室（单位）给出明确的回复意见</w:t>
      </w:r>
      <w:r>
        <w:rPr>
          <w:rFonts w:hint="eastAsia" w:asciiTheme="minorEastAsia" w:hAnsiTheme="minorEastAsia" w:eastAsiaTheme="minorEastAsia" w:cstheme="minorEastAsia"/>
          <w:b w:val="0"/>
          <w:bCs w:val="0"/>
          <w:color w:val="auto"/>
          <w:sz w:val="24"/>
          <w:szCs w:val="24"/>
          <w:lang w:eastAsia="zh-CN"/>
        </w:rPr>
        <w:t>。</w:t>
      </w:r>
    </w:p>
    <w:p w14:paraId="45466CA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3.达到一致意见后，形成书面材料，呈报分管局领导审阅。凡应协调而未按程序协调的议题，一律不准上会研究</w:t>
      </w:r>
      <w:r>
        <w:rPr>
          <w:rFonts w:hint="eastAsia" w:asciiTheme="minorEastAsia" w:hAnsiTheme="minorEastAsia" w:eastAsiaTheme="minorEastAsia" w:cstheme="minorEastAsia"/>
          <w:b w:val="0"/>
          <w:bCs w:val="0"/>
          <w:color w:val="auto"/>
          <w:sz w:val="24"/>
          <w:szCs w:val="24"/>
          <w:lang w:eastAsia="zh-CN"/>
        </w:rPr>
        <w:t>。</w:t>
      </w:r>
    </w:p>
    <w:p w14:paraId="53A41BA8">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.办公室按照局长办公会议例会时间安排，提前</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个工作日向各处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室（单位）征集上会议题（临时加开的会议随时征集），各处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室（单位）根据办公室通知，填写《局长办公会议（议题征集单）》，经分管局领导审核同意签字后，提前3个工作日，将相关材料报办公室履行相关审核报批程序。</w:t>
      </w:r>
    </w:p>
    <w:p w14:paraId="4EF45814">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第五条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会议通知</w:t>
      </w:r>
    </w:p>
    <w:p w14:paraId="1F5F2D3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办公室负责将会议通知发至与会人员。</w:t>
      </w:r>
    </w:p>
    <w:p w14:paraId="2B7597D4">
      <w:pPr>
        <w:pStyle w:val="26"/>
        <w:pageBreakBefore w:val="0"/>
        <w:tabs>
          <w:tab w:val="left" w:pos="5962"/>
        </w:tabs>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材料准备</w:t>
      </w:r>
    </w:p>
    <w:p w14:paraId="0494995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会议议题确定后，相关</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室（单位）要按办公室通知要求准备会议材料。按规定格式、字数、份数印刷，并于会议召开前1个工作日前送至办公室。</w:t>
      </w:r>
    </w:p>
    <w:p w14:paraId="4F26ACAD">
      <w:pPr>
        <w:pStyle w:val="26"/>
        <w:pageBreakBefore w:val="0"/>
        <w:tabs>
          <w:tab w:val="left" w:pos="5962"/>
        </w:tabs>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第七条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其他事项</w:t>
      </w:r>
    </w:p>
    <w:p w14:paraId="30DCAB2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会议发言。议题汇报要简明扼要，内容明确，提出的建议和请示事项清楚。其他与会人员发言时要言简意明，力求简短。对议题没有不同意见，不再重复发言</w:t>
      </w:r>
      <w:r>
        <w:rPr>
          <w:rFonts w:hint="eastAsia" w:asciiTheme="minorEastAsia" w:hAnsiTheme="minorEastAsia" w:eastAsiaTheme="minorEastAsia" w:cstheme="minorEastAsia"/>
          <w:b w:val="0"/>
          <w:bCs w:val="0"/>
          <w:color w:val="auto"/>
          <w:sz w:val="24"/>
          <w:szCs w:val="24"/>
          <w:lang w:eastAsia="zh-CN"/>
        </w:rPr>
        <w:t>。</w:t>
      </w:r>
    </w:p>
    <w:p w14:paraId="3BB8AED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会议文件。会议讨论的文件、材料，特别是涉密的，会后起草部门要安排专人收回。会议讨论决定的事项，未正式公布的，要做好保密工作</w:t>
      </w:r>
      <w:r>
        <w:rPr>
          <w:rFonts w:hint="eastAsia" w:asciiTheme="minorEastAsia" w:hAnsiTheme="minorEastAsia" w:eastAsiaTheme="minorEastAsia" w:cstheme="minorEastAsia"/>
          <w:b w:val="0"/>
          <w:bCs w:val="0"/>
          <w:color w:val="auto"/>
          <w:sz w:val="24"/>
          <w:szCs w:val="24"/>
          <w:lang w:eastAsia="zh-CN"/>
        </w:rPr>
        <w:t>。</w:t>
      </w:r>
    </w:p>
    <w:p w14:paraId="56AD259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会议纪要。根据局领导要求，若需发会议纪要，办公室负责在会议结束后尽快拟写会议纪要，报分管局领导审核后，报请局长签批</w:t>
      </w:r>
      <w:r>
        <w:rPr>
          <w:rFonts w:hint="eastAsia" w:asciiTheme="minorEastAsia" w:hAnsiTheme="minorEastAsia" w:eastAsiaTheme="minorEastAsia" w:cstheme="minorEastAsia"/>
          <w:b w:val="0"/>
          <w:bCs w:val="0"/>
          <w:color w:val="auto"/>
          <w:sz w:val="24"/>
          <w:szCs w:val="24"/>
          <w:lang w:eastAsia="zh-CN"/>
        </w:rPr>
        <w:t>。</w:t>
      </w:r>
    </w:p>
    <w:p w14:paraId="043AB336">
      <w:pPr>
        <w:pStyle w:val="25"/>
        <w:pageBreakBefore w:val="0"/>
        <w:tabs>
          <w:tab w:val="left" w:pos="5962"/>
        </w:tabs>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会议落实。会议决定的事项和部署的工作，局领导同志要按工作分工抓好落实，相关</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室（单位）完成情况要及时报告分管局领导、局长。办公室要切实做好督办，确定专人负责，建立健全督办记录，实行督办制度</w:t>
      </w:r>
      <w:r>
        <w:rPr>
          <w:rFonts w:hint="eastAsia" w:asciiTheme="minorEastAsia" w:hAnsiTheme="minorEastAsia" w:eastAsiaTheme="minorEastAsia" w:cstheme="minorEastAsia"/>
          <w:b w:val="0"/>
          <w:bCs w:val="0"/>
          <w:color w:val="auto"/>
          <w:sz w:val="24"/>
          <w:szCs w:val="24"/>
          <w:lang w:eastAsia="zh-CN"/>
        </w:rPr>
        <w:t>。</w:t>
      </w:r>
    </w:p>
    <w:p w14:paraId="50FDE9E4">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材料归档。局长办公会议由办公室负责组织并记录。形成的记录、材料由记录人员及时整理存放，年底集中整理一次，经</w:t>
      </w:r>
      <w:r>
        <w:rPr>
          <w:rFonts w:hint="eastAsia" w:asciiTheme="minorEastAsia" w:hAnsiTheme="minorEastAsia" w:eastAsiaTheme="minorEastAsia" w:cstheme="minorEastAsia"/>
          <w:b w:val="0"/>
          <w:bCs w:val="0"/>
          <w:color w:val="auto"/>
          <w:sz w:val="24"/>
          <w:szCs w:val="24"/>
          <w:lang w:eastAsia="zh-CN"/>
        </w:rPr>
        <w:t>分管领导</w:t>
      </w:r>
      <w:r>
        <w:rPr>
          <w:rFonts w:hint="eastAsia" w:asciiTheme="minorEastAsia" w:hAnsiTheme="minorEastAsia" w:eastAsiaTheme="minorEastAsia" w:cstheme="minorEastAsia"/>
          <w:b w:val="0"/>
          <w:bCs w:val="0"/>
          <w:color w:val="auto"/>
          <w:sz w:val="24"/>
          <w:szCs w:val="24"/>
        </w:rPr>
        <w:t>审核后立卷归档。</w:t>
      </w:r>
    </w:p>
    <w:p w14:paraId="536EC2D5">
      <w:pPr>
        <w:pStyle w:val="25"/>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第八条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本制度自印发之日起试行。</w:t>
      </w:r>
    </w:p>
    <w:p w14:paraId="2DC9E16A">
      <w:pPr>
        <w:pStyle w:val="25"/>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附件：1.局长办公会议议题审批表</w:t>
      </w:r>
    </w:p>
    <w:p w14:paraId="591EBA56">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 xml:space="preserve">          2.</w:t>
      </w:r>
      <w:r>
        <w:rPr>
          <w:rFonts w:hint="eastAsia" w:asciiTheme="minorEastAsia" w:hAnsiTheme="minorEastAsia" w:eastAsiaTheme="minorEastAsia" w:cstheme="minorEastAsia"/>
          <w:b/>
          <w:bCs/>
          <w:color w:val="auto"/>
          <w:sz w:val="24"/>
          <w:szCs w:val="24"/>
        </w:rPr>
        <w:t>局长办公会议印刷材料格</w:t>
      </w:r>
      <w:r>
        <w:rPr>
          <w:rFonts w:hint="eastAsia" w:asciiTheme="minorEastAsia" w:hAnsiTheme="minorEastAsia" w:eastAsiaTheme="minorEastAsia" w:cstheme="minorEastAsia"/>
          <w:b/>
          <w:bCs/>
          <w:color w:val="auto"/>
          <w:sz w:val="24"/>
          <w:szCs w:val="24"/>
          <w:lang w:eastAsia="zh-CN"/>
        </w:rPr>
        <w:t>式</w:t>
      </w:r>
    </w:p>
    <w:p w14:paraId="1855A097">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 xml:space="preserve">          3.</w:t>
      </w:r>
      <w:r>
        <w:rPr>
          <w:rFonts w:hint="eastAsia" w:asciiTheme="minorEastAsia" w:hAnsiTheme="minorEastAsia" w:eastAsiaTheme="minorEastAsia" w:cstheme="minorEastAsia"/>
          <w:b/>
          <w:bCs/>
          <w:color w:val="auto"/>
          <w:kern w:val="0"/>
          <w:sz w:val="24"/>
          <w:szCs w:val="24"/>
          <w:lang w:eastAsia="zh-CN"/>
        </w:rPr>
        <w:t>局</w:t>
      </w:r>
      <w:r>
        <w:rPr>
          <w:rFonts w:hint="eastAsia" w:asciiTheme="minorEastAsia" w:hAnsiTheme="minorEastAsia" w:eastAsiaTheme="minorEastAsia" w:cstheme="minorEastAsia"/>
          <w:b/>
          <w:bCs/>
          <w:color w:val="auto"/>
          <w:kern w:val="0"/>
          <w:sz w:val="24"/>
          <w:szCs w:val="24"/>
        </w:rPr>
        <w:t>长办公会议议题（征集单）</w:t>
      </w:r>
    </w:p>
    <w:p w14:paraId="5753A14A">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kern w:val="0"/>
          <w:sz w:val="24"/>
          <w:szCs w:val="24"/>
        </w:rPr>
      </w:pPr>
    </w:p>
    <w:p w14:paraId="244944A5">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kern w:val="0"/>
          <w:sz w:val="24"/>
          <w:szCs w:val="24"/>
        </w:rPr>
      </w:pPr>
    </w:p>
    <w:p w14:paraId="2BA59F83">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kern w:val="0"/>
          <w:sz w:val="24"/>
          <w:szCs w:val="24"/>
        </w:rPr>
      </w:pPr>
    </w:p>
    <w:p w14:paraId="0A9A1173">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kern w:val="0"/>
          <w:sz w:val="24"/>
          <w:szCs w:val="24"/>
        </w:rPr>
      </w:pPr>
    </w:p>
    <w:tbl>
      <w:tblPr>
        <w:tblStyle w:val="15"/>
        <w:tblpPr w:leftFromText="180" w:rightFromText="180" w:vertAnchor="text" w:horzAnchor="page" w:tblpX="1657" w:tblpY="252"/>
        <w:tblOverlap w:val="never"/>
        <w:tblW w:w="8680" w:type="dxa"/>
        <w:tblInd w:w="0" w:type="dxa"/>
        <w:tblLayout w:type="fixed"/>
        <w:tblCellMar>
          <w:top w:w="0" w:type="dxa"/>
          <w:left w:w="108" w:type="dxa"/>
          <w:bottom w:w="0" w:type="dxa"/>
          <w:right w:w="108" w:type="dxa"/>
        </w:tblCellMar>
      </w:tblPr>
      <w:tblGrid>
        <w:gridCol w:w="2126"/>
        <w:gridCol w:w="2434"/>
        <w:gridCol w:w="2434"/>
        <w:gridCol w:w="1686"/>
      </w:tblGrid>
      <w:tr w14:paraId="367F0629">
        <w:tblPrEx>
          <w:tblCellMar>
            <w:top w:w="0" w:type="dxa"/>
            <w:left w:w="108" w:type="dxa"/>
            <w:bottom w:w="0" w:type="dxa"/>
            <w:right w:w="108" w:type="dxa"/>
          </w:tblCellMar>
        </w:tblPrEx>
        <w:trPr>
          <w:trHeight w:val="996" w:hRule="atLeast"/>
        </w:trPr>
        <w:tc>
          <w:tcPr>
            <w:tcW w:w="8680" w:type="dxa"/>
            <w:gridSpan w:val="4"/>
            <w:tcBorders>
              <w:bottom w:val="single" w:color="000000" w:sz="4" w:space="0"/>
            </w:tcBorders>
            <w:vAlign w:val="center"/>
          </w:tcPr>
          <w:p w14:paraId="22D82951">
            <w:pPr>
              <w:pageBreakBefore w:val="0"/>
              <w:kinsoku/>
              <w:overflowPunct/>
              <w:topLinePunct w:val="0"/>
              <w:autoSpaceDN w:val="0"/>
              <w:bidi w:val="0"/>
              <w:spacing w:line="580" w:lineRule="exact"/>
              <w:jc w:val="both"/>
              <w:textAlignment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附件1</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局长办公会议议题审批表</w:t>
            </w:r>
          </w:p>
        </w:tc>
      </w:tr>
      <w:tr w14:paraId="5FB731EC">
        <w:tblPrEx>
          <w:tblCellMar>
            <w:top w:w="0" w:type="dxa"/>
            <w:left w:w="108" w:type="dxa"/>
            <w:bottom w:w="0" w:type="dxa"/>
            <w:right w:w="108" w:type="dxa"/>
          </w:tblCellMar>
        </w:tblPrEx>
        <w:trPr>
          <w:trHeight w:val="595" w:hRule="atLeast"/>
        </w:trPr>
        <w:tc>
          <w:tcPr>
            <w:tcW w:w="2126" w:type="dxa"/>
            <w:tcBorders>
              <w:top w:val="single" w:color="000000" w:sz="4" w:space="0"/>
              <w:left w:val="single" w:color="000000" w:sz="4" w:space="0"/>
              <w:bottom w:val="single" w:color="000000" w:sz="4" w:space="0"/>
              <w:right w:val="single" w:color="000000" w:sz="4" w:space="0"/>
            </w:tcBorders>
            <w:vAlign w:val="center"/>
          </w:tcPr>
          <w:p w14:paraId="2F352DA4">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申请</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w:t>
            </w:r>
          </w:p>
        </w:tc>
        <w:tc>
          <w:tcPr>
            <w:tcW w:w="2434" w:type="dxa"/>
            <w:tcBorders>
              <w:top w:val="single" w:color="000000" w:sz="4" w:space="0"/>
              <w:left w:val="single" w:color="000000" w:sz="4" w:space="0"/>
              <w:bottom w:val="single" w:color="000000" w:sz="4" w:space="0"/>
              <w:right w:val="single" w:color="000000" w:sz="4" w:space="0"/>
            </w:tcBorders>
            <w:vAlign w:val="center"/>
          </w:tcPr>
          <w:p w14:paraId="59ED0761">
            <w:pPr>
              <w:pageBreakBefore w:val="0"/>
              <w:kinsoku/>
              <w:overflowPunct/>
              <w:topLinePunct w:val="0"/>
              <w:autoSpaceDN w:val="0"/>
              <w:bidi w:val="0"/>
              <w:spacing w:line="580" w:lineRule="exact"/>
              <w:ind w:left="0"/>
              <w:jc w:val="both"/>
              <w:textAlignment w:val="center"/>
              <w:rPr>
                <w:rFonts w:hint="eastAsia" w:asciiTheme="minorEastAsia" w:hAnsiTheme="minorEastAsia" w:eastAsiaTheme="minorEastAsia" w:cstheme="minorEastAsia"/>
                <w:b w:val="0"/>
                <w:bCs w:val="0"/>
                <w:color w:val="auto"/>
                <w:sz w:val="24"/>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1674FE2E">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申请时间</w:t>
            </w:r>
          </w:p>
        </w:tc>
        <w:tc>
          <w:tcPr>
            <w:tcW w:w="1686" w:type="dxa"/>
            <w:tcBorders>
              <w:top w:val="single" w:color="000000" w:sz="4" w:space="0"/>
              <w:left w:val="single" w:color="000000" w:sz="4" w:space="0"/>
              <w:bottom w:val="single" w:color="000000" w:sz="4" w:space="0"/>
              <w:right w:val="single" w:color="000000" w:sz="4" w:space="0"/>
            </w:tcBorders>
            <w:vAlign w:val="center"/>
          </w:tcPr>
          <w:p w14:paraId="1843B361">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p>
        </w:tc>
      </w:tr>
      <w:tr w14:paraId="43751007">
        <w:tblPrEx>
          <w:tblCellMar>
            <w:top w:w="0" w:type="dxa"/>
            <w:left w:w="108" w:type="dxa"/>
            <w:bottom w:w="0" w:type="dxa"/>
            <w:right w:w="108" w:type="dxa"/>
          </w:tblCellMar>
        </w:tblPrEx>
        <w:trPr>
          <w:trHeight w:val="595" w:hRule="atLeast"/>
        </w:trPr>
        <w:tc>
          <w:tcPr>
            <w:tcW w:w="2126" w:type="dxa"/>
            <w:tcBorders>
              <w:top w:val="single" w:color="000000" w:sz="4" w:space="0"/>
              <w:left w:val="single" w:color="000000" w:sz="4" w:space="0"/>
              <w:bottom w:val="single" w:color="000000" w:sz="4" w:space="0"/>
              <w:right w:val="single" w:color="000000" w:sz="4" w:space="0"/>
            </w:tcBorders>
            <w:vAlign w:val="center"/>
          </w:tcPr>
          <w:p w14:paraId="01277CE5">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议题名称</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14:paraId="5C3B778B">
            <w:pPr>
              <w:pageBreakBefore w:val="0"/>
              <w:kinsoku/>
              <w:overflowPunct/>
              <w:topLinePunct w:val="0"/>
              <w:autoSpaceDN w:val="0"/>
              <w:bidi w:val="0"/>
              <w:spacing w:line="580" w:lineRule="exact"/>
              <w:ind w:left="0"/>
              <w:jc w:val="both"/>
              <w:textAlignment w:val="center"/>
              <w:rPr>
                <w:rFonts w:hint="eastAsia" w:asciiTheme="minorEastAsia" w:hAnsiTheme="minorEastAsia" w:eastAsiaTheme="minorEastAsia" w:cstheme="minorEastAsia"/>
                <w:b w:val="0"/>
                <w:bCs w:val="0"/>
                <w:color w:val="auto"/>
                <w:sz w:val="24"/>
                <w:szCs w:val="24"/>
              </w:rPr>
            </w:pPr>
          </w:p>
        </w:tc>
      </w:tr>
      <w:tr w14:paraId="7175E99F">
        <w:tblPrEx>
          <w:tblCellMar>
            <w:top w:w="0" w:type="dxa"/>
            <w:left w:w="108" w:type="dxa"/>
            <w:bottom w:w="0" w:type="dxa"/>
            <w:right w:w="108" w:type="dxa"/>
          </w:tblCellMar>
        </w:tblPrEx>
        <w:trPr>
          <w:trHeight w:val="1020" w:hRule="atLeast"/>
        </w:trPr>
        <w:tc>
          <w:tcPr>
            <w:tcW w:w="2126" w:type="dxa"/>
            <w:tcBorders>
              <w:top w:val="single" w:color="000000" w:sz="4" w:space="0"/>
              <w:left w:val="single" w:color="000000" w:sz="4" w:space="0"/>
              <w:bottom w:val="single" w:color="000000" w:sz="4" w:space="0"/>
              <w:right w:val="single" w:color="000000" w:sz="4" w:space="0"/>
            </w:tcBorders>
            <w:vAlign w:val="center"/>
          </w:tcPr>
          <w:p w14:paraId="35717D80">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议题汇报人</w:t>
            </w:r>
          </w:p>
        </w:tc>
        <w:tc>
          <w:tcPr>
            <w:tcW w:w="2434" w:type="dxa"/>
            <w:tcBorders>
              <w:top w:val="single" w:color="000000" w:sz="4" w:space="0"/>
              <w:left w:val="single" w:color="000000" w:sz="4" w:space="0"/>
              <w:bottom w:val="single" w:color="000000" w:sz="4" w:space="0"/>
            </w:tcBorders>
            <w:vAlign w:val="center"/>
          </w:tcPr>
          <w:p w14:paraId="38A63914">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7D809E3C">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汇报时间</w:t>
            </w:r>
          </w:p>
        </w:tc>
        <w:tc>
          <w:tcPr>
            <w:tcW w:w="1686" w:type="dxa"/>
            <w:tcBorders>
              <w:top w:val="single" w:color="000000" w:sz="4" w:space="0"/>
              <w:bottom w:val="single" w:color="000000" w:sz="4" w:space="0"/>
              <w:right w:val="single" w:color="000000" w:sz="4" w:space="0"/>
            </w:tcBorders>
            <w:vAlign w:val="center"/>
          </w:tcPr>
          <w:p w14:paraId="2157936F">
            <w:pPr>
              <w:keepNext w:val="0"/>
              <w:keepLines w:val="0"/>
              <w:pageBreakBefore w:val="0"/>
              <w:widowControl w:val="0"/>
              <w:kinsoku/>
              <w:wordWrap/>
              <w:overflowPunct/>
              <w:topLinePunct w:val="0"/>
              <w:autoSpaceDE/>
              <w:autoSpaceDN w:val="0"/>
              <w:bidi w:val="0"/>
              <w:adjustRightInd/>
              <w:snapToGrid/>
              <w:spacing w:line="500" w:lineRule="exact"/>
              <w:ind w:lef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拟定     分钟</w:t>
            </w:r>
          </w:p>
        </w:tc>
      </w:tr>
      <w:tr w14:paraId="6EE2356E">
        <w:tblPrEx>
          <w:tblCellMar>
            <w:top w:w="0" w:type="dxa"/>
            <w:left w:w="108" w:type="dxa"/>
            <w:bottom w:w="0" w:type="dxa"/>
            <w:right w:w="108" w:type="dxa"/>
          </w:tblCellMar>
        </w:tblPrEx>
        <w:trPr>
          <w:trHeight w:val="1020" w:hRule="exact"/>
        </w:trPr>
        <w:tc>
          <w:tcPr>
            <w:tcW w:w="2126" w:type="dxa"/>
            <w:tcBorders>
              <w:top w:val="single" w:color="000000" w:sz="4" w:space="0"/>
              <w:left w:val="single" w:color="000000" w:sz="4" w:space="0"/>
              <w:bottom w:val="single" w:color="000000" w:sz="4" w:space="0"/>
              <w:right w:val="single" w:color="000000" w:sz="4" w:space="0"/>
            </w:tcBorders>
            <w:vAlign w:val="center"/>
          </w:tcPr>
          <w:p w14:paraId="51A3F135">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议题内容</w:t>
            </w:r>
            <w:r>
              <w:rPr>
                <w:rFonts w:hint="eastAsia" w:asciiTheme="minorEastAsia" w:hAnsiTheme="minorEastAsia" w:eastAsiaTheme="minorEastAsia" w:cstheme="minorEastAsia"/>
                <w:b w:val="0"/>
                <w:bCs w:val="0"/>
                <w:color w:val="auto"/>
                <w:sz w:val="24"/>
                <w:szCs w:val="24"/>
              </w:rPr>
              <w:br w:type="textWrapping"/>
            </w:r>
            <w:r>
              <w:rPr>
                <w:rFonts w:hint="eastAsia" w:asciiTheme="minorEastAsia" w:hAnsiTheme="minorEastAsia" w:eastAsiaTheme="minorEastAsia" w:cstheme="minorEastAsia"/>
                <w:b w:val="0"/>
                <w:bCs w:val="0"/>
                <w:color w:val="auto"/>
                <w:sz w:val="24"/>
                <w:szCs w:val="24"/>
              </w:rPr>
              <w:t>要　　点</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14:paraId="62D31F7D">
            <w:pPr>
              <w:pageBreakBefore w:val="0"/>
              <w:kinsoku/>
              <w:overflowPunct/>
              <w:topLinePunct w:val="0"/>
              <w:autoSpaceDN w:val="0"/>
              <w:bidi w:val="0"/>
              <w:spacing w:line="580" w:lineRule="exact"/>
              <w:ind w:left="0"/>
              <w:jc w:val="both"/>
              <w:textAlignment w:val="center"/>
              <w:rPr>
                <w:rFonts w:hint="eastAsia" w:asciiTheme="minorEastAsia" w:hAnsiTheme="minorEastAsia" w:eastAsiaTheme="minorEastAsia" w:cstheme="minorEastAsia"/>
                <w:b w:val="0"/>
                <w:bCs w:val="0"/>
                <w:color w:val="auto"/>
                <w:sz w:val="24"/>
                <w:szCs w:val="24"/>
              </w:rPr>
            </w:pPr>
          </w:p>
        </w:tc>
      </w:tr>
      <w:tr w14:paraId="3E685F17">
        <w:tblPrEx>
          <w:tblCellMar>
            <w:top w:w="0" w:type="dxa"/>
            <w:left w:w="108" w:type="dxa"/>
            <w:bottom w:w="0" w:type="dxa"/>
            <w:right w:w="108" w:type="dxa"/>
          </w:tblCellMar>
        </w:tblPrEx>
        <w:trPr>
          <w:trHeight w:val="1020" w:hRule="exact"/>
        </w:trPr>
        <w:tc>
          <w:tcPr>
            <w:tcW w:w="2126" w:type="dxa"/>
            <w:tcBorders>
              <w:top w:val="single" w:color="000000" w:sz="4" w:space="0"/>
              <w:left w:val="single" w:color="000000" w:sz="4" w:space="0"/>
              <w:bottom w:val="single" w:color="000000" w:sz="4" w:space="0"/>
              <w:right w:val="single" w:color="000000" w:sz="4" w:space="0"/>
            </w:tcBorders>
            <w:vAlign w:val="center"/>
          </w:tcPr>
          <w:p w14:paraId="4D15ACB8">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列席</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w:t>
            </w:r>
          </w:p>
          <w:p w14:paraId="33C4A69A">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意    见</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14:paraId="7FB16630">
            <w:pPr>
              <w:pageBreakBefore w:val="0"/>
              <w:kinsoku/>
              <w:overflowPunct/>
              <w:topLinePunct w:val="0"/>
              <w:autoSpaceDN w:val="0"/>
              <w:bidi w:val="0"/>
              <w:spacing w:line="580" w:lineRule="exact"/>
              <w:ind w:lef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br w:type="textWrapping"/>
            </w:r>
            <w:r>
              <w:rPr>
                <w:rFonts w:hint="eastAsia" w:asciiTheme="minorEastAsia" w:hAnsiTheme="minorEastAsia" w:eastAsiaTheme="minorEastAsia" w:cstheme="minorEastAsia"/>
                <w:b w:val="0"/>
                <w:bCs w:val="0"/>
                <w:color w:val="auto"/>
                <w:sz w:val="24"/>
                <w:szCs w:val="24"/>
              </w:rPr>
              <w:t>　　　　　　　　　　　 　　  年　　月　　日</w:t>
            </w:r>
          </w:p>
        </w:tc>
      </w:tr>
      <w:tr w14:paraId="2EEBBD21">
        <w:tblPrEx>
          <w:tblCellMar>
            <w:top w:w="0" w:type="dxa"/>
            <w:left w:w="108" w:type="dxa"/>
            <w:bottom w:w="0" w:type="dxa"/>
            <w:right w:w="108" w:type="dxa"/>
          </w:tblCellMar>
        </w:tblPrEx>
        <w:trPr>
          <w:trHeight w:val="1020" w:hRule="exact"/>
        </w:trPr>
        <w:tc>
          <w:tcPr>
            <w:tcW w:w="2126" w:type="dxa"/>
            <w:tcBorders>
              <w:top w:val="single" w:color="000000" w:sz="4" w:space="0"/>
              <w:left w:val="single" w:color="000000" w:sz="4" w:space="0"/>
              <w:bottom w:val="single" w:color="000000" w:sz="4" w:space="0"/>
              <w:right w:val="single" w:color="000000" w:sz="4" w:space="0"/>
            </w:tcBorders>
            <w:vAlign w:val="center"/>
          </w:tcPr>
          <w:p w14:paraId="26EC59D6">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分管局领导</w:t>
            </w:r>
            <w:r>
              <w:rPr>
                <w:rFonts w:hint="eastAsia" w:asciiTheme="minorEastAsia" w:hAnsiTheme="minorEastAsia" w:eastAsiaTheme="minorEastAsia" w:cstheme="minorEastAsia"/>
                <w:b w:val="0"/>
                <w:bCs w:val="0"/>
                <w:color w:val="auto"/>
                <w:sz w:val="24"/>
                <w:szCs w:val="24"/>
              </w:rPr>
              <w:br w:type="textWrapping"/>
            </w:r>
            <w:r>
              <w:rPr>
                <w:rFonts w:hint="eastAsia" w:asciiTheme="minorEastAsia" w:hAnsiTheme="minorEastAsia" w:eastAsiaTheme="minorEastAsia" w:cstheme="minorEastAsia"/>
                <w:b w:val="0"/>
                <w:bCs w:val="0"/>
                <w:color w:val="auto"/>
                <w:sz w:val="24"/>
                <w:szCs w:val="24"/>
              </w:rPr>
              <w:t>意　　见</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14:paraId="38720E77">
            <w:pPr>
              <w:pageBreakBefore w:val="0"/>
              <w:kinsoku/>
              <w:overflowPunct/>
              <w:topLinePunct w:val="0"/>
              <w:autoSpaceDN w:val="0"/>
              <w:bidi w:val="0"/>
              <w:spacing w:line="580" w:lineRule="exact"/>
              <w:ind w:lef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br w:type="textWrapping"/>
            </w:r>
            <w:r>
              <w:rPr>
                <w:rFonts w:hint="eastAsia" w:asciiTheme="minorEastAsia" w:hAnsiTheme="minorEastAsia" w:eastAsiaTheme="minorEastAsia" w:cstheme="minorEastAsia"/>
                <w:b w:val="0"/>
                <w:bCs w:val="0"/>
                <w:color w:val="auto"/>
                <w:sz w:val="24"/>
                <w:szCs w:val="24"/>
              </w:rPr>
              <w:t>　　　　           签名：　 　    年　　月　　日</w:t>
            </w:r>
          </w:p>
        </w:tc>
      </w:tr>
      <w:tr w14:paraId="495C3DBD">
        <w:tblPrEx>
          <w:tblCellMar>
            <w:top w:w="0" w:type="dxa"/>
            <w:left w:w="108" w:type="dxa"/>
            <w:bottom w:w="0" w:type="dxa"/>
            <w:right w:w="108" w:type="dxa"/>
          </w:tblCellMar>
        </w:tblPrEx>
        <w:trPr>
          <w:trHeight w:val="1020" w:hRule="exact"/>
        </w:trPr>
        <w:tc>
          <w:tcPr>
            <w:tcW w:w="2126" w:type="dxa"/>
            <w:tcBorders>
              <w:top w:val="single" w:color="000000" w:sz="4" w:space="0"/>
              <w:left w:val="single" w:color="000000" w:sz="4" w:space="0"/>
              <w:bottom w:val="single" w:color="000000" w:sz="4" w:space="0"/>
              <w:right w:val="single" w:color="000000" w:sz="4" w:space="0"/>
            </w:tcBorders>
            <w:vAlign w:val="center"/>
          </w:tcPr>
          <w:p w14:paraId="6F0F85F6">
            <w:pPr>
              <w:pageBreakBefore w:val="0"/>
              <w:kinsoku/>
              <w:overflowPunct/>
              <w:topLinePunct w:val="0"/>
              <w:autoSpaceDN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局　　长</w:t>
            </w:r>
            <w:r>
              <w:rPr>
                <w:rFonts w:hint="eastAsia" w:asciiTheme="minorEastAsia" w:hAnsiTheme="minorEastAsia" w:eastAsiaTheme="minorEastAsia" w:cstheme="minorEastAsia"/>
                <w:b w:val="0"/>
                <w:bCs w:val="0"/>
                <w:color w:val="auto"/>
                <w:sz w:val="24"/>
                <w:szCs w:val="24"/>
              </w:rPr>
              <w:br w:type="textWrapping"/>
            </w:r>
            <w:r>
              <w:rPr>
                <w:rFonts w:hint="eastAsia" w:asciiTheme="minorEastAsia" w:hAnsiTheme="minorEastAsia" w:eastAsiaTheme="minorEastAsia" w:cstheme="minorEastAsia"/>
                <w:b w:val="0"/>
                <w:bCs w:val="0"/>
                <w:color w:val="auto"/>
                <w:sz w:val="24"/>
                <w:szCs w:val="24"/>
              </w:rPr>
              <w:t>审定意见</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14:paraId="10B4FBC6">
            <w:pPr>
              <w:pageBreakBefore w:val="0"/>
              <w:kinsoku/>
              <w:overflowPunct/>
              <w:topLinePunct w:val="0"/>
              <w:autoSpaceDN w:val="0"/>
              <w:bidi w:val="0"/>
              <w:spacing w:line="580" w:lineRule="exact"/>
              <w:ind w:lef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签名：　   　　年　　月　　日</w:t>
            </w:r>
          </w:p>
        </w:tc>
      </w:tr>
    </w:tbl>
    <w:p w14:paraId="2B5978B5">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3FD48502">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73E3A6B6">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4F20C6B7">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3FCE0E59">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665293F8">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7D05C0EE">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1D44D92C">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767B3705">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rPr>
      </w:pPr>
    </w:p>
    <w:p w14:paraId="6CABCAC2">
      <w:pPr>
        <w:pStyle w:val="25"/>
        <w:pageBreakBefore w:val="0"/>
        <w:numPr>
          <w:ilvl w:val="0"/>
          <w:numId w:val="0"/>
        </w:numPr>
        <w:kinsoku/>
        <w:overflowPunct/>
        <w:topLinePunct w:val="0"/>
        <w:bidi w:val="0"/>
        <w:spacing w:line="580" w:lineRule="exact"/>
        <w:ind w:left="0" w:leftChars="0"/>
        <w:jc w:val="both"/>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color w:val="auto"/>
          <w:sz w:val="36"/>
          <w:szCs w:val="36"/>
        </w:rPr>
        <w:t>附件2</w:t>
      </w:r>
      <w:r>
        <w:rPr>
          <w:rFonts w:hint="eastAsia" w:asciiTheme="minorEastAsia" w:hAnsiTheme="minorEastAsia" w:eastAsiaTheme="minorEastAsia" w:cstheme="minorEastAsia"/>
          <w:b/>
          <w:bCs/>
          <w:color w:val="auto"/>
          <w:sz w:val="36"/>
          <w:szCs w:val="36"/>
          <w:lang w:val="en-US" w:eastAsia="zh-CN"/>
        </w:rPr>
        <w:t xml:space="preserve">       </w:t>
      </w:r>
      <w:r>
        <w:rPr>
          <w:rFonts w:hint="eastAsia" w:asciiTheme="minorEastAsia" w:hAnsiTheme="minorEastAsia" w:eastAsiaTheme="minorEastAsia" w:cstheme="minorEastAsia"/>
          <w:b/>
          <w:bCs/>
          <w:color w:val="auto"/>
          <w:sz w:val="36"/>
          <w:szCs w:val="36"/>
        </w:rPr>
        <w:t>局长办公会议印刷材料格</w:t>
      </w:r>
      <w:r>
        <w:rPr>
          <w:rFonts w:hint="eastAsia" w:asciiTheme="minorEastAsia" w:hAnsiTheme="minorEastAsia" w:eastAsiaTheme="minorEastAsia" w:cstheme="minorEastAsia"/>
          <w:b/>
          <w:bCs/>
          <w:color w:val="auto"/>
          <w:sz w:val="36"/>
          <w:szCs w:val="36"/>
          <w:lang w:eastAsia="zh-CN"/>
        </w:rPr>
        <w:t>式</w:t>
      </w:r>
    </w:p>
    <w:p w14:paraId="53A03B3C">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rPr>
      </w:pPr>
    </w:p>
    <w:p w14:paraId="0CED60CD">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局长办公会议讨论文件                                 **同志批印</w:t>
      </w:r>
    </w:p>
    <w:p w14:paraId="3969004C">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（首页左上角顶格  4号黑体）           （首页右上角顶格  4号黑体）</w:t>
      </w:r>
    </w:p>
    <w:p w14:paraId="6A44742E">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w:t>
      </w:r>
    </w:p>
    <w:p w14:paraId="58C12C28">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（空两行）</w:t>
      </w:r>
    </w:p>
    <w:p w14:paraId="605D82EA">
      <w:pPr>
        <w:pStyle w:val="27"/>
        <w:pageBreakBefore w:val="0"/>
        <w:kinsoku/>
        <w:overflowPunct/>
        <w:topLinePunct w:val="0"/>
        <w:bidi w:val="0"/>
        <w:spacing w:line="580" w:lineRule="exact"/>
        <w:ind w:lef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关于*******的情况汇报（居中  ２号方正标宋）</w:t>
      </w:r>
    </w:p>
    <w:p w14:paraId="193D3C1C">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p>
    <w:p w14:paraId="3341F35F">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 ***（人名）（居中  ３号楷体）</w:t>
      </w:r>
    </w:p>
    <w:p w14:paraId="6F729BFB">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年  月  日）（居中  ３号楷体）</w:t>
      </w:r>
    </w:p>
    <w:p w14:paraId="2E4F0DBA">
      <w:pPr>
        <w:pStyle w:val="27"/>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（空一行）</w:t>
      </w:r>
    </w:p>
    <w:p w14:paraId="5D3F2198">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根据会议安排，现将***情况汇报如下。（正文  3号仿宋，首行缩进2字符）</w:t>
      </w:r>
    </w:p>
    <w:p w14:paraId="397707D2">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一、（文中一级标题，3号黑体，首行缩进2字符）</w:t>
      </w:r>
    </w:p>
    <w:p w14:paraId="435A1871">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（一）……（文中二级标题，3号楷体，首行缩进2字符）</w:t>
      </w:r>
    </w:p>
    <w:p w14:paraId="5EEC1AA1">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……（正文，3号仿宋，首行缩进2字符）</w:t>
      </w:r>
    </w:p>
    <w:p w14:paraId="2297DE7D">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p>
    <w:p w14:paraId="71B2DB12">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要求：1.汇报材料不超过1000字；</w:t>
      </w:r>
    </w:p>
    <w:p w14:paraId="1C5CF4DF">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2.左侧装订（订2钉）；</w:t>
      </w:r>
    </w:p>
    <w:p w14:paraId="04C4B821">
      <w:pPr>
        <w:pStyle w:val="27"/>
        <w:pageBreakBefore w:val="0"/>
        <w:kinsoku/>
        <w:overflowPunct/>
        <w:topLinePunct w:val="0"/>
        <w:bidi w:val="0"/>
        <w:spacing w:line="580" w:lineRule="exact"/>
        <w:ind w:left="0" w:firstLine="61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3.严格按此格式印刷，不加项，不漏项。</w:t>
      </w:r>
    </w:p>
    <w:p w14:paraId="5FC49C5A">
      <w:pPr>
        <w:pStyle w:val="27"/>
        <w:pageBreakBefore w:val="0"/>
        <w:kinsoku/>
        <w:overflowPunct/>
        <w:topLinePunct w:val="0"/>
        <w:bidi w:val="0"/>
        <w:spacing w:line="580" w:lineRule="exact"/>
        <w:ind w:left="0" w:firstLine="1180" w:firstLineChars="49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4.印制材料数量应保证局领导、列席部门及办公室存档所需（2份），务于会议前1个工作日送至局办公室。</w:t>
      </w:r>
    </w:p>
    <w:p w14:paraId="0201589D">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sectPr>
          <w:footerReference r:id="rId4" w:type="default"/>
          <w:pgSz w:w="11906" w:h="16838"/>
          <w:pgMar w:top="1984" w:right="1417" w:bottom="1701" w:left="1587" w:header="851" w:footer="992" w:gutter="0"/>
          <w:pgBorders>
            <w:top w:val="none" w:sz="0" w:space="0"/>
            <w:left w:val="none" w:sz="0" w:space="0"/>
            <w:bottom w:val="none" w:sz="0" w:space="0"/>
            <w:right w:val="none" w:sz="0" w:space="0"/>
          </w:pgBorders>
          <w:pgNumType w:fmt="numberInDash" w:start="1"/>
          <w:cols w:space="720" w:num="1"/>
          <w:docGrid w:linePitch="312" w:charSpace="0"/>
        </w:sectPr>
      </w:pPr>
    </w:p>
    <w:tbl>
      <w:tblPr>
        <w:tblStyle w:val="15"/>
        <w:tblpPr w:leftFromText="180" w:rightFromText="180" w:vertAnchor="text" w:horzAnchor="page" w:tblpX="1713" w:tblpY="296"/>
        <w:tblOverlap w:val="never"/>
        <w:tblW w:w="9570" w:type="dxa"/>
        <w:tblInd w:w="0" w:type="dxa"/>
        <w:tblLayout w:type="fixed"/>
        <w:tblCellMar>
          <w:top w:w="15" w:type="dxa"/>
          <w:left w:w="15" w:type="dxa"/>
          <w:bottom w:w="15" w:type="dxa"/>
          <w:right w:w="15" w:type="dxa"/>
        </w:tblCellMar>
      </w:tblPr>
      <w:tblGrid>
        <w:gridCol w:w="1785"/>
        <w:gridCol w:w="1534"/>
        <w:gridCol w:w="1590"/>
        <w:gridCol w:w="1511"/>
        <w:gridCol w:w="1380"/>
        <w:gridCol w:w="1770"/>
      </w:tblGrid>
      <w:tr w14:paraId="537FEAA5">
        <w:tblPrEx>
          <w:tblCellMar>
            <w:top w:w="15" w:type="dxa"/>
            <w:left w:w="15" w:type="dxa"/>
            <w:bottom w:w="15" w:type="dxa"/>
            <w:right w:w="15" w:type="dxa"/>
          </w:tblCellMar>
        </w:tblPrEx>
        <w:trPr>
          <w:trHeight w:val="1020" w:hRule="atLeast"/>
        </w:trPr>
        <w:tc>
          <w:tcPr>
            <w:tcW w:w="9570" w:type="dxa"/>
            <w:gridSpan w:val="6"/>
            <w:vAlign w:val="center"/>
          </w:tcPr>
          <w:p w14:paraId="15E9DADB">
            <w:pPr>
              <w:pageBreakBefore w:val="0"/>
              <w:kinsoku/>
              <w:overflowPunct/>
              <w:topLinePunct w:val="0"/>
              <w:autoSpaceDN w:val="0"/>
              <w:bidi w:val="0"/>
              <w:spacing w:line="580" w:lineRule="exact"/>
              <w:ind w:left="0"/>
              <w:jc w:val="both"/>
              <w:textAlignment w:val="center"/>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color w:val="auto"/>
                <w:sz w:val="36"/>
                <w:szCs w:val="36"/>
              </w:rPr>
              <w:t>附件</w:t>
            </w:r>
            <w:r>
              <w:rPr>
                <w:rFonts w:hint="eastAsia" w:asciiTheme="minorEastAsia" w:hAnsiTheme="minorEastAsia" w:eastAsiaTheme="minorEastAsia" w:cstheme="minorEastAsia"/>
                <w:b/>
                <w:bCs/>
                <w:color w:val="auto"/>
                <w:sz w:val="36"/>
                <w:szCs w:val="36"/>
                <w:lang w:val="en-US" w:eastAsia="zh-CN"/>
              </w:rPr>
              <w:t>3</w:t>
            </w:r>
          </w:p>
          <w:p w14:paraId="163ED768">
            <w:pPr>
              <w:pageBreakBefore w:val="0"/>
              <w:widowControl/>
              <w:kinsoku/>
              <w:overflowPunct/>
              <w:topLinePunct w:val="0"/>
              <w:bidi w:val="0"/>
              <w:spacing w:line="580" w:lineRule="exact"/>
              <w:ind w:left="0"/>
              <w:jc w:val="center"/>
              <w:textAlignment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kern w:val="0"/>
                <w:sz w:val="36"/>
                <w:szCs w:val="36"/>
                <w:lang w:val="en-US" w:eastAsia="zh-CN"/>
              </w:rPr>
              <w:t>白城市医疗</w:t>
            </w:r>
            <w:r>
              <w:rPr>
                <w:rFonts w:hint="eastAsia" w:asciiTheme="minorEastAsia" w:hAnsiTheme="minorEastAsia" w:eastAsiaTheme="minorEastAsia" w:cstheme="minorEastAsia"/>
                <w:b/>
                <w:bCs/>
                <w:color w:val="auto"/>
                <w:kern w:val="0"/>
                <w:sz w:val="36"/>
                <w:szCs w:val="36"/>
              </w:rPr>
              <w:t>保障局   年第  次局长办公会议议题（征集单）</w:t>
            </w:r>
          </w:p>
        </w:tc>
      </w:tr>
      <w:tr w14:paraId="0DA0FB26">
        <w:tblPrEx>
          <w:tblCellMar>
            <w:top w:w="15" w:type="dxa"/>
            <w:left w:w="15" w:type="dxa"/>
            <w:bottom w:w="15" w:type="dxa"/>
            <w:right w:w="15" w:type="dxa"/>
          </w:tblCellMar>
        </w:tblPrEx>
        <w:trPr>
          <w:trHeight w:val="569"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45D1D798">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时  间</w:t>
            </w:r>
          </w:p>
        </w:tc>
        <w:tc>
          <w:tcPr>
            <w:tcW w:w="4635" w:type="dxa"/>
            <w:gridSpan w:val="3"/>
            <w:tcBorders>
              <w:top w:val="single" w:color="000000" w:sz="4" w:space="0"/>
              <w:left w:val="single" w:color="000000" w:sz="4" w:space="0"/>
              <w:bottom w:val="single" w:color="000000" w:sz="4" w:space="0"/>
              <w:right w:val="single" w:color="000000" w:sz="4" w:space="0"/>
            </w:tcBorders>
            <w:vAlign w:val="center"/>
          </w:tcPr>
          <w:p w14:paraId="4050A916">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kern w:val="0"/>
                <w:sz w:val="28"/>
                <w:szCs w:val="28"/>
              </w:rPr>
              <w:t>年 月 日（星期  ）（送审</w:t>
            </w:r>
            <w:r>
              <w:rPr>
                <w:rFonts w:hint="eastAsia" w:asciiTheme="minorEastAsia" w:hAnsiTheme="minorEastAsia" w:eastAsiaTheme="minorEastAsia" w:cstheme="minorEastAsia"/>
                <w:b w:val="0"/>
                <w:bCs w:val="0"/>
                <w:color w:val="auto"/>
                <w:kern w:val="0"/>
                <w:sz w:val="28"/>
                <w:szCs w:val="28"/>
                <w:lang w:eastAsia="zh-CN"/>
              </w:rPr>
              <w:t>）</w:t>
            </w:r>
          </w:p>
        </w:tc>
        <w:tc>
          <w:tcPr>
            <w:tcW w:w="1380" w:type="dxa"/>
            <w:tcBorders>
              <w:top w:val="single" w:color="000000" w:sz="4" w:space="0"/>
              <w:left w:val="single" w:color="000000" w:sz="4" w:space="0"/>
              <w:bottom w:val="single" w:color="000000" w:sz="4" w:space="0"/>
              <w:right w:val="single" w:color="000000" w:sz="4" w:space="0"/>
            </w:tcBorders>
            <w:vAlign w:val="center"/>
          </w:tcPr>
          <w:p w14:paraId="700DF517">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地  点</w:t>
            </w:r>
          </w:p>
        </w:tc>
        <w:tc>
          <w:tcPr>
            <w:tcW w:w="1770" w:type="dxa"/>
            <w:tcBorders>
              <w:top w:val="single" w:color="000000" w:sz="4" w:space="0"/>
              <w:left w:val="single" w:color="000000" w:sz="4" w:space="0"/>
              <w:bottom w:val="single" w:color="000000" w:sz="4" w:space="0"/>
              <w:right w:val="single" w:color="000000" w:sz="4" w:space="0"/>
            </w:tcBorders>
            <w:vAlign w:val="center"/>
          </w:tcPr>
          <w:p w14:paraId="4D57BDE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8"/>
                <w:szCs w:val="28"/>
              </w:rPr>
            </w:pPr>
          </w:p>
        </w:tc>
      </w:tr>
      <w:tr w14:paraId="08433055">
        <w:tblPrEx>
          <w:tblCellMar>
            <w:top w:w="15" w:type="dxa"/>
            <w:left w:w="15" w:type="dxa"/>
            <w:bottom w:w="15" w:type="dxa"/>
            <w:right w:w="15" w:type="dxa"/>
          </w:tblCellMar>
        </w:tblPrEx>
        <w:trPr>
          <w:trHeight w:val="600"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7E5E6DAC">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主持人</w:t>
            </w:r>
          </w:p>
        </w:tc>
        <w:tc>
          <w:tcPr>
            <w:tcW w:w="1534" w:type="dxa"/>
            <w:tcBorders>
              <w:top w:val="single" w:color="000000" w:sz="4" w:space="0"/>
              <w:left w:val="single" w:color="000000" w:sz="4" w:space="0"/>
              <w:bottom w:val="single" w:color="000000" w:sz="4" w:space="0"/>
              <w:right w:val="single" w:color="000000" w:sz="4" w:space="0"/>
            </w:tcBorders>
            <w:vAlign w:val="center"/>
          </w:tcPr>
          <w:p w14:paraId="7078B19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8"/>
                <w:szCs w:val="28"/>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10F4431E">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出（列）席</w:t>
            </w:r>
          </w:p>
          <w:p w14:paraId="4D247C00">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领导</w:t>
            </w:r>
          </w:p>
        </w:tc>
        <w:tc>
          <w:tcPr>
            <w:tcW w:w="4661" w:type="dxa"/>
            <w:gridSpan w:val="3"/>
            <w:tcBorders>
              <w:top w:val="single" w:color="000000" w:sz="4" w:space="0"/>
              <w:left w:val="single" w:color="000000" w:sz="4" w:space="0"/>
              <w:bottom w:val="single" w:color="000000" w:sz="4" w:space="0"/>
              <w:right w:val="single" w:color="000000" w:sz="4" w:space="0"/>
            </w:tcBorders>
            <w:vAlign w:val="center"/>
          </w:tcPr>
          <w:p w14:paraId="303167F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8"/>
                <w:szCs w:val="28"/>
              </w:rPr>
            </w:pPr>
          </w:p>
        </w:tc>
      </w:tr>
      <w:tr w14:paraId="650A1B68">
        <w:tblPrEx>
          <w:tblCellMar>
            <w:top w:w="15" w:type="dxa"/>
            <w:left w:w="15" w:type="dxa"/>
            <w:bottom w:w="15" w:type="dxa"/>
            <w:right w:w="15" w:type="dxa"/>
          </w:tblCellMar>
        </w:tblPrEx>
        <w:trPr>
          <w:trHeight w:val="654"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7A2E488F">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议  题</w:t>
            </w:r>
          </w:p>
        </w:tc>
        <w:tc>
          <w:tcPr>
            <w:tcW w:w="1534" w:type="dxa"/>
            <w:tcBorders>
              <w:top w:val="single" w:color="000000" w:sz="4" w:space="0"/>
              <w:left w:val="single" w:color="000000" w:sz="4" w:space="0"/>
              <w:bottom w:val="single" w:color="000000" w:sz="4" w:space="0"/>
              <w:right w:val="single" w:color="000000" w:sz="4" w:space="0"/>
            </w:tcBorders>
            <w:vAlign w:val="center"/>
          </w:tcPr>
          <w:p w14:paraId="3EF2661A">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汇报单位</w:t>
            </w:r>
          </w:p>
        </w:tc>
        <w:tc>
          <w:tcPr>
            <w:tcW w:w="1590" w:type="dxa"/>
            <w:tcBorders>
              <w:top w:val="single" w:color="000000" w:sz="4" w:space="0"/>
              <w:left w:val="single" w:color="000000" w:sz="4" w:space="0"/>
              <w:bottom w:val="single" w:color="000000" w:sz="4" w:space="0"/>
              <w:right w:val="single" w:color="000000" w:sz="4" w:space="0"/>
            </w:tcBorders>
            <w:vAlign w:val="center"/>
          </w:tcPr>
          <w:p w14:paraId="69655BBD">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汇报人</w:t>
            </w:r>
          </w:p>
        </w:tc>
        <w:tc>
          <w:tcPr>
            <w:tcW w:w="1511" w:type="dxa"/>
            <w:tcBorders>
              <w:top w:val="single" w:color="000000" w:sz="4" w:space="0"/>
              <w:left w:val="single" w:color="000000" w:sz="4" w:space="0"/>
              <w:bottom w:val="single" w:color="000000" w:sz="4" w:space="0"/>
              <w:right w:val="single" w:color="000000" w:sz="4" w:space="0"/>
            </w:tcBorders>
            <w:vAlign w:val="center"/>
          </w:tcPr>
          <w:p w14:paraId="348741FB">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汇报时间</w:t>
            </w:r>
          </w:p>
        </w:tc>
        <w:tc>
          <w:tcPr>
            <w:tcW w:w="1380" w:type="dxa"/>
            <w:tcBorders>
              <w:top w:val="single" w:color="000000" w:sz="4" w:space="0"/>
              <w:left w:val="single" w:color="000000" w:sz="4" w:space="0"/>
              <w:bottom w:val="single" w:color="000000" w:sz="4" w:space="0"/>
              <w:right w:val="single" w:color="000000" w:sz="4" w:space="0"/>
            </w:tcBorders>
            <w:vAlign w:val="center"/>
          </w:tcPr>
          <w:p w14:paraId="45D00EFA">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讨论时间</w:t>
            </w:r>
          </w:p>
        </w:tc>
        <w:tc>
          <w:tcPr>
            <w:tcW w:w="1770" w:type="dxa"/>
            <w:tcBorders>
              <w:top w:val="single" w:color="000000" w:sz="4" w:space="0"/>
              <w:left w:val="single" w:color="000000" w:sz="4" w:space="0"/>
              <w:bottom w:val="single" w:color="000000" w:sz="4" w:space="0"/>
              <w:right w:val="single" w:color="000000" w:sz="4" w:space="0"/>
            </w:tcBorders>
            <w:vAlign w:val="center"/>
          </w:tcPr>
          <w:p w14:paraId="3D2EE4A3">
            <w:pPr>
              <w:pageBreakBefore w:val="0"/>
              <w:widowControl/>
              <w:kinsoku/>
              <w:overflowPunct/>
              <w:topLinePunct w:val="0"/>
              <w:bidi w:val="0"/>
              <w:spacing w:line="580" w:lineRule="exact"/>
              <w:ind w:left="0" w:leftChars="0" w:right="0" w:rightChars="0" w:firstLine="0" w:firstLineChars="0"/>
              <w:jc w:val="both"/>
              <w:textAlignment w:val="center"/>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kern w:val="0"/>
                <w:sz w:val="28"/>
                <w:szCs w:val="28"/>
              </w:rPr>
              <w:t>出（列）席单位负责人</w:t>
            </w:r>
          </w:p>
        </w:tc>
      </w:tr>
      <w:tr w14:paraId="702F2845">
        <w:tblPrEx>
          <w:tblCellMar>
            <w:top w:w="15" w:type="dxa"/>
            <w:left w:w="15" w:type="dxa"/>
            <w:bottom w:w="15" w:type="dxa"/>
            <w:right w:w="15" w:type="dxa"/>
          </w:tblCellMar>
        </w:tblPrEx>
        <w:trPr>
          <w:trHeight w:val="940"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6C6AD413">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058639FE">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2F3397C8">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11" w:type="dxa"/>
            <w:tcBorders>
              <w:top w:val="single" w:color="000000" w:sz="4" w:space="0"/>
              <w:left w:val="single" w:color="000000" w:sz="4" w:space="0"/>
              <w:bottom w:val="single" w:color="000000" w:sz="4" w:space="0"/>
              <w:right w:val="single" w:color="000000" w:sz="4" w:space="0"/>
            </w:tcBorders>
            <w:vAlign w:val="center"/>
          </w:tcPr>
          <w:p w14:paraId="48B91863">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AF02479">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20B95716">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r>
      <w:tr w14:paraId="43528E1F">
        <w:tblPrEx>
          <w:tblCellMar>
            <w:top w:w="15" w:type="dxa"/>
            <w:left w:w="15" w:type="dxa"/>
            <w:bottom w:w="15" w:type="dxa"/>
            <w:right w:w="15" w:type="dxa"/>
          </w:tblCellMar>
        </w:tblPrEx>
        <w:trPr>
          <w:trHeight w:val="937"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39563EA3">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33CF489B">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3660CE59">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11" w:type="dxa"/>
            <w:tcBorders>
              <w:top w:val="single" w:color="000000" w:sz="4" w:space="0"/>
              <w:left w:val="single" w:color="000000" w:sz="4" w:space="0"/>
              <w:bottom w:val="single" w:color="000000" w:sz="4" w:space="0"/>
              <w:right w:val="single" w:color="000000" w:sz="4" w:space="0"/>
            </w:tcBorders>
            <w:vAlign w:val="center"/>
          </w:tcPr>
          <w:p w14:paraId="02318EEB">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7CD57997">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22A044CF">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r>
      <w:tr w14:paraId="0C6BD984">
        <w:tblPrEx>
          <w:tblCellMar>
            <w:top w:w="15" w:type="dxa"/>
            <w:left w:w="15" w:type="dxa"/>
            <w:bottom w:w="15" w:type="dxa"/>
            <w:right w:w="15" w:type="dxa"/>
          </w:tblCellMar>
        </w:tblPrEx>
        <w:trPr>
          <w:trHeight w:val="1004"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00A7F75C">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082A1917">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CDD746F">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11" w:type="dxa"/>
            <w:tcBorders>
              <w:top w:val="single" w:color="000000" w:sz="4" w:space="0"/>
              <w:left w:val="single" w:color="000000" w:sz="4" w:space="0"/>
              <w:bottom w:val="single" w:color="000000" w:sz="4" w:space="0"/>
              <w:right w:val="single" w:color="000000" w:sz="4" w:space="0"/>
            </w:tcBorders>
            <w:vAlign w:val="center"/>
          </w:tcPr>
          <w:p w14:paraId="4EB74C26">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7D20CC5">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3AF6F0C2">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r>
      <w:tr w14:paraId="480945FE">
        <w:tblPrEx>
          <w:tblCellMar>
            <w:top w:w="15" w:type="dxa"/>
            <w:left w:w="15" w:type="dxa"/>
            <w:bottom w:w="15" w:type="dxa"/>
            <w:right w:w="15" w:type="dxa"/>
          </w:tblCellMar>
        </w:tblPrEx>
        <w:trPr>
          <w:trHeight w:val="1027"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647B6751">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0389045F">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25BA30B3">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11" w:type="dxa"/>
            <w:tcBorders>
              <w:top w:val="single" w:color="000000" w:sz="4" w:space="0"/>
              <w:left w:val="single" w:color="000000" w:sz="4" w:space="0"/>
              <w:bottom w:val="single" w:color="000000" w:sz="4" w:space="0"/>
              <w:right w:val="single" w:color="000000" w:sz="4" w:space="0"/>
            </w:tcBorders>
            <w:vAlign w:val="center"/>
          </w:tcPr>
          <w:p w14:paraId="7FB0E9AC">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70B36EB5">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46BBF668">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r>
      <w:tr w14:paraId="70816776">
        <w:tblPrEx>
          <w:tblCellMar>
            <w:top w:w="15" w:type="dxa"/>
            <w:left w:w="15" w:type="dxa"/>
            <w:bottom w:w="15" w:type="dxa"/>
            <w:right w:w="15" w:type="dxa"/>
          </w:tblCellMar>
        </w:tblPrEx>
        <w:trPr>
          <w:trHeight w:val="1052" w:hRule="atLeast"/>
        </w:trPr>
        <w:tc>
          <w:tcPr>
            <w:tcW w:w="1785" w:type="dxa"/>
            <w:tcBorders>
              <w:top w:val="single" w:color="000000" w:sz="4" w:space="0"/>
              <w:left w:val="single" w:color="000000" w:sz="4" w:space="0"/>
              <w:bottom w:val="single" w:color="000000" w:sz="4" w:space="0"/>
              <w:right w:val="single" w:color="000000" w:sz="4" w:space="0"/>
            </w:tcBorders>
            <w:vAlign w:val="center"/>
          </w:tcPr>
          <w:p w14:paraId="694F5F29">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34" w:type="dxa"/>
            <w:tcBorders>
              <w:top w:val="single" w:color="000000" w:sz="4" w:space="0"/>
              <w:left w:val="single" w:color="000000" w:sz="4" w:space="0"/>
              <w:bottom w:val="single" w:color="000000" w:sz="4" w:space="0"/>
              <w:right w:val="single" w:color="000000" w:sz="4" w:space="0"/>
            </w:tcBorders>
            <w:vAlign w:val="center"/>
          </w:tcPr>
          <w:p w14:paraId="7700F587">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1D7F42EE">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511" w:type="dxa"/>
            <w:tcBorders>
              <w:top w:val="single" w:color="000000" w:sz="4" w:space="0"/>
              <w:left w:val="single" w:color="000000" w:sz="4" w:space="0"/>
              <w:bottom w:val="single" w:color="000000" w:sz="4" w:space="0"/>
              <w:right w:val="single" w:color="000000" w:sz="4" w:space="0"/>
            </w:tcBorders>
            <w:vAlign w:val="center"/>
          </w:tcPr>
          <w:p w14:paraId="7B39468C">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0D8BB0A">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29FD400A">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sz w:val="28"/>
                <w:szCs w:val="28"/>
              </w:rPr>
            </w:pPr>
          </w:p>
        </w:tc>
      </w:tr>
    </w:tbl>
    <w:p w14:paraId="406DE2D0">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rPr>
      </w:pPr>
    </w:p>
    <w:p w14:paraId="5828697E">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7721052A">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6C104934">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4331F75B">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065A9D67">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2189941C">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589C3567">
      <w:pPr>
        <w:pageBreakBefore w:val="0"/>
        <w:kinsoku/>
        <w:wordWrap/>
        <w:overflowPunct/>
        <w:topLinePunct w:val="0"/>
        <w:autoSpaceDE/>
        <w:autoSpaceDN/>
        <w:bidi w:val="0"/>
        <w:adjustRightInd/>
        <w:spacing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党组理论学习中心组学习制度</w:t>
      </w:r>
    </w:p>
    <w:p w14:paraId="7B2FB9A5">
      <w:pPr>
        <w:bidi w:val="0"/>
        <w:rPr>
          <w:rFonts w:hint="eastAsia" w:asciiTheme="minorEastAsia" w:hAnsiTheme="minorEastAsia" w:eastAsiaTheme="minorEastAsia" w:cstheme="minorEastAsia"/>
          <w:b/>
          <w:bCs/>
        </w:rPr>
      </w:pPr>
    </w:p>
    <w:p w14:paraId="5541830A">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为进一步提高局党组成员思想政治素质和政策理论水平，推进局党组理论中心组学习制度化、规范化建设，</w:t>
      </w:r>
      <w:r>
        <w:rPr>
          <w:rFonts w:hint="eastAsia" w:asciiTheme="minorEastAsia" w:hAnsiTheme="minorEastAsia" w:eastAsiaTheme="minorEastAsia" w:cstheme="minorEastAsia"/>
          <w:b w:val="0"/>
          <w:bCs w:val="0"/>
          <w:color w:val="auto"/>
          <w:sz w:val="24"/>
          <w:szCs w:val="24"/>
          <w:lang w:val="en-US" w:eastAsia="zh-CN"/>
        </w:rPr>
        <w:t>根据有关文件精神</w:t>
      </w:r>
      <w:r>
        <w:rPr>
          <w:rFonts w:hint="eastAsia" w:asciiTheme="minorEastAsia" w:hAnsiTheme="minorEastAsia" w:eastAsiaTheme="minorEastAsia" w:cstheme="minorEastAsia"/>
          <w:b w:val="0"/>
          <w:bCs w:val="0"/>
          <w:color w:val="auto"/>
          <w:sz w:val="24"/>
          <w:szCs w:val="24"/>
        </w:rPr>
        <w:t>，结合白城市医疗保障局</w:t>
      </w:r>
      <w:r>
        <w:rPr>
          <w:rFonts w:hint="eastAsia" w:asciiTheme="minorEastAsia" w:hAnsiTheme="minorEastAsia" w:eastAsiaTheme="minorEastAsia" w:cstheme="minorEastAsia"/>
          <w:b w:val="0"/>
          <w:bCs w:val="0"/>
          <w:color w:val="auto"/>
          <w:sz w:val="24"/>
          <w:szCs w:val="24"/>
          <w:lang w:val="en-US" w:eastAsia="zh-CN"/>
        </w:rPr>
        <w:t>工作</w:t>
      </w:r>
      <w:r>
        <w:rPr>
          <w:rFonts w:hint="eastAsia" w:asciiTheme="minorEastAsia" w:hAnsiTheme="minorEastAsia" w:eastAsiaTheme="minorEastAsia" w:cstheme="minorEastAsia"/>
          <w:b w:val="0"/>
          <w:bCs w:val="0"/>
          <w:color w:val="auto"/>
          <w:sz w:val="24"/>
          <w:szCs w:val="24"/>
        </w:rPr>
        <w:t>实际，制定本制度。</w:t>
      </w:r>
    </w:p>
    <w:p w14:paraId="542330E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一</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局党组理论学习中心组（以下简称“局中心组”）是局党组政治理论学习组织。参加中心组学习是局党组成员必须履行的职责。</w:t>
      </w:r>
    </w:p>
    <w:p w14:paraId="4B06FE8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二</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把掌握和运用马克思主义立场、观点、方法作为局理论中心组学习的根本目的，坚持理论联系实际，增强工作的原则性、系统性、预见性和创造性；坚持解放思想、实事求是、与时俱进，带着问题学、带着思考学，学用结合推进工作，不断提高局党组成员理论水平、领导水平和工作能力。</w:t>
      </w:r>
    </w:p>
    <w:p w14:paraId="003A661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三</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局中心组成员由局党组成员组成。实行组长负责制，组长由局党组书记、局长担任。局中心组的学习，原则上是局中心组人员参加，也可根据需要召开中心组学习扩大会，学习范围扩大到局机关</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级干部、局直属单位负责人或全体</w:t>
      </w:r>
      <w:r>
        <w:rPr>
          <w:rFonts w:hint="eastAsia" w:asciiTheme="minorEastAsia" w:hAnsiTheme="minorEastAsia" w:eastAsiaTheme="minorEastAsia" w:cstheme="minorEastAsia"/>
          <w:b w:val="0"/>
          <w:bCs w:val="0"/>
          <w:color w:val="auto"/>
          <w:sz w:val="24"/>
          <w:szCs w:val="24"/>
          <w:lang w:val="en-US" w:eastAsia="zh-CN"/>
        </w:rPr>
        <w:t>工作人员</w:t>
      </w:r>
      <w:r>
        <w:rPr>
          <w:rFonts w:hint="eastAsia" w:asciiTheme="minorEastAsia" w:hAnsiTheme="minorEastAsia" w:eastAsiaTheme="minorEastAsia" w:cstheme="minorEastAsia"/>
          <w:b w:val="0"/>
          <w:bCs w:val="0"/>
          <w:color w:val="auto"/>
          <w:sz w:val="24"/>
          <w:szCs w:val="24"/>
        </w:rPr>
        <w:t>。</w:t>
      </w:r>
    </w:p>
    <w:p w14:paraId="0A05836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四</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局中心组学习的主要内容如下：</w:t>
      </w:r>
    </w:p>
    <w:p w14:paraId="2FC6680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深入学习马克思主义基本理论，学习马克思主义中国化最新理论成果，重点是中国特色社会主义理论体系</w:t>
      </w:r>
      <w:r>
        <w:rPr>
          <w:rFonts w:hint="eastAsia" w:asciiTheme="minorEastAsia" w:hAnsiTheme="minorEastAsia" w:eastAsiaTheme="minorEastAsia" w:cstheme="minorEastAsia"/>
          <w:b w:val="0"/>
          <w:bCs w:val="0"/>
          <w:color w:val="auto"/>
          <w:sz w:val="24"/>
          <w:szCs w:val="24"/>
          <w:lang w:eastAsia="zh-CN"/>
        </w:rPr>
        <w:t>。</w:t>
      </w:r>
    </w:p>
    <w:p w14:paraId="1A810857">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深入学习党章、习近平新时代中国特色社会主义思想、</w:t>
      </w:r>
      <w:r>
        <w:rPr>
          <w:rFonts w:hint="eastAsia" w:asciiTheme="minorEastAsia" w:hAnsiTheme="minorEastAsia" w:eastAsiaTheme="minorEastAsia" w:cstheme="minorEastAsia"/>
          <w:b w:val="0"/>
          <w:bCs w:val="0"/>
          <w:color w:val="auto"/>
          <w:sz w:val="24"/>
          <w:szCs w:val="24"/>
          <w:lang w:eastAsia="zh-CN"/>
        </w:rPr>
        <w:t>十九大精神</w:t>
      </w:r>
      <w:r>
        <w:rPr>
          <w:rFonts w:hint="eastAsia" w:asciiTheme="minorEastAsia" w:hAnsiTheme="minorEastAsia" w:eastAsiaTheme="minorEastAsia" w:cstheme="minorEastAsia"/>
          <w:b w:val="0"/>
          <w:bCs w:val="0"/>
          <w:color w:val="auto"/>
          <w:sz w:val="24"/>
          <w:szCs w:val="24"/>
        </w:rPr>
        <w:t>，学习掌握党的基本理论、基本路线、基本纲领、基本经验、基本要求，进一步把握共产党执政规律、社会主义建设规律</w:t>
      </w:r>
      <w:r>
        <w:rPr>
          <w:rFonts w:hint="eastAsia" w:asciiTheme="minorEastAsia" w:hAnsiTheme="minorEastAsia" w:eastAsiaTheme="minorEastAsia" w:cstheme="minorEastAsia"/>
          <w:b w:val="0"/>
          <w:bCs w:val="0"/>
          <w:color w:val="auto"/>
          <w:sz w:val="24"/>
          <w:szCs w:val="24"/>
          <w:lang w:eastAsia="zh-CN"/>
        </w:rPr>
        <w:t>。</w:t>
      </w:r>
    </w:p>
    <w:p w14:paraId="65243FEA">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深入学习党的路线方针政策，特别是党中央、国务院</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省委、省政府</w:t>
      </w:r>
      <w:r>
        <w:rPr>
          <w:rFonts w:hint="eastAsia" w:asciiTheme="minorEastAsia" w:hAnsiTheme="minorEastAsia" w:eastAsiaTheme="minorEastAsia" w:cstheme="minorEastAsia"/>
          <w:b w:val="0"/>
          <w:bCs w:val="0"/>
          <w:color w:val="auto"/>
          <w:sz w:val="24"/>
          <w:szCs w:val="24"/>
          <w:lang w:val="en-US" w:eastAsia="zh-CN"/>
        </w:rPr>
        <w:t>和市委、市政府的</w:t>
      </w:r>
      <w:r>
        <w:rPr>
          <w:rFonts w:hint="eastAsia" w:asciiTheme="minorEastAsia" w:hAnsiTheme="minorEastAsia" w:eastAsiaTheme="minorEastAsia" w:cstheme="minorEastAsia"/>
          <w:b w:val="0"/>
          <w:bCs w:val="0"/>
          <w:color w:val="auto"/>
          <w:sz w:val="24"/>
          <w:szCs w:val="24"/>
        </w:rPr>
        <w:t>重要文件、重大决策和领导同志的重要讲话精神</w:t>
      </w:r>
      <w:r>
        <w:rPr>
          <w:rFonts w:hint="eastAsia" w:asciiTheme="minorEastAsia" w:hAnsiTheme="minorEastAsia" w:eastAsiaTheme="minorEastAsia" w:cstheme="minorEastAsia"/>
          <w:b w:val="0"/>
          <w:bCs w:val="0"/>
          <w:color w:val="auto"/>
          <w:sz w:val="24"/>
          <w:szCs w:val="24"/>
          <w:lang w:eastAsia="zh-CN"/>
        </w:rPr>
        <w:t>。</w:t>
      </w:r>
    </w:p>
    <w:p w14:paraId="60A604F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深入学习医疗保障相关理论和业务知识，提高制定政策、运用政策、执行政策的能力和水平</w:t>
      </w:r>
      <w:r>
        <w:rPr>
          <w:rFonts w:hint="eastAsia" w:asciiTheme="minorEastAsia" w:hAnsiTheme="minorEastAsia" w:eastAsiaTheme="minorEastAsia" w:cstheme="minorEastAsia"/>
          <w:b w:val="0"/>
          <w:bCs w:val="0"/>
          <w:color w:val="auto"/>
          <w:sz w:val="24"/>
          <w:szCs w:val="24"/>
          <w:lang w:eastAsia="zh-CN"/>
        </w:rPr>
        <w:t>。</w:t>
      </w:r>
    </w:p>
    <w:p w14:paraId="43CE7B6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深入学习政治、经济、科技、法律、文化、金融、历史、社会管理等方面的新知识，不断完善知识结构，提高综合素质、开阔眼光。</w:t>
      </w:r>
    </w:p>
    <w:p w14:paraId="333A9F2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五</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局中心组学习的方式、方法如下：</w:t>
      </w:r>
    </w:p>
    <w:p w14:paraId="7420C9C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专题辅导。日常学习会主要以专题讲座、辅导报告方式进行，邀请专家、学者或有关领导干部作辅导讲座</w:t>
      </w:r>
      <w:r>
        <w:rPr>
          <w:rFonts w:hint="eastAsia" w:asciiTheme="minorEastAsia" w:hAnsiTheme="minorEastAsia" w:eastAsiaTheme="minorEastAsia" w:cstheme="minorEastAsia"/>
          <w:b w:val="0"/>
          <w:bCs w:val="0"/>
          <w:color w:val="auto"/>
          <w:sz w:val="24"/>
          <w:szCs w:val="24"/>
          <w:lang w:eastAsia="zh-CN"/>
        </w:rPr>
        <w:t>。</w:t>
      </w:r>
    </w:p>
    <w:p w14:paraId="24CEE647">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集体研讨。扩大学习会主要以研讨和交流方式进行，围绕关系经济社会发展、党的最新理论、医疗保障工作重大问题等设计学习主题，开展交流研讨</w:t>
      </w:r>
      <w:r>
        <w:rPr>
          <w:rFonts w:hint="eastAsia" w:asciiTheme="minorEastAsia" w:hAnsiTheme="minorEastAsia" w:eastAsiaTheme="minorEastAsia" w:cstheme="minorEastAsia"/>
          <w:b w:val="0"/>
          <w:bCs w:val="0"/>
          <w:color w:val="auto"/>
          <w:sz w:val="24"/>
          <w:szCs w:val="24"/>
          <w:lang w:eastAsia="zh-CN"/>
        </w:rPr>
        <w:t>。</w:t>
      </w:r>
    </w:p>
    <w:p w14:paraId="4D0116B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开展学习调研，根据</w:t>
      </w:r>
      <w:r>
        <w:rPr>
          <w:rFonts w:hint="eastAsia" w:asciiTheme="minorEastAsia" w:hAnsiTheme="minorEastAsia" w:eastAsiaTheme="minorEastAsia" w:cstheme="minorEastAsia"/>
          <w:b w:val="0"/>
          <w:bCs w:val="0"/>
          <w:color w:val="auto"/>
          <w:sz w:val="24"/>
          <w:szCs w:val="24"/>
          <w:lang w:val="en-US" w:eastAsia="zh-CN"/>
        </w:rPr>
        <w:t>市</w:t>
      </w:r>
      <w:r>
        <w:rPr>
          <w:rFonts w:hint="eastAsia" w:asciiTheme="minorEastAsia" w:hAnsiTheme="minorEastAsia" w:eastAsiaTheme="minorEastAsia" w:cstheme="minorEastAsia"/>
          <w:b w:val="0"/>
          <w:bCs w:val="0"/>
          <w:color w:val="auto"/>
          <w:sz w:val="24"/>
          <w:szCs w:val="24"/>
        </w:rPr>
        <w:t>医保局要求和局工作实际，中心组成员带着问题去调研</w:t>
      </w:r>
      <w:r>
        <w:rPr>
          <w:rFonts w:hint="eastAsia" w:asciiTheme="minorEastAsia" w:hAnsiTheme="minorEastAsia" w:eastAsiaTheme="minorEastAsia" w:cstheme="minorEastAsia"/>
          <w:b w:val="0"/>
          <w:bCs w:val="0"/>
          <w:color w:val="auto"/>
          <w:sz w:val="24"/>
          <w:szCs w:val="24"/>
          <w:lang w:eastAsia="zh-CN"/>
        </w:rPr>
        <w:t>。</w:t>
      </w:r>
    </w:p>
    <w:p w14:paraId="1F85217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个人自学。根据形式任务需要和要求中心组成员开展自学，利用8小时之外时间读书学习；除以上四种形式外，理论中心组可采取读书和辅导相结合、中心发言和集中研讨相结合、自学和调查研究相结合、走出去与请进来相结合等多种学习方式、方法。</w:t>
      </w:r>
    </w:p>
    <w:p w14:paraId="7BB96EE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六</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局中心组集中学习的时间原则上每季度至少有一次集中学习。</w:t>
      </w:r>
    </w:p>
    <w:p w14:paraId="39A73F6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七</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发挥局中心组学习的示范和指导作用。局中心组要带头学，先学一步，学深一些，用自己的学习收获和学习成果指导和带动局机关和局直属单位的学习。</w:t>
      </w:r>
    </w:p>
    <w:p w14:paraId="7CC2F83A">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八</w:t>
      </w:r>
      <w:r>
        <w:rPr>
          <w:rFonts w:hint="eastAsia" w:asciiTheme="minorEastAsia" w:hAnsiTheme="minorEastAsia" w:eastAsiaTheme="minorEastAsia" w:cstheme="minorEastAsia"/>
          <w:b w:val="0"/>
          <w:bCs w:val="0"/>
          <w:color w:val="auto"/>
          <w:sz w:val="24"/>
          <w:szCs w:val="24"/>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机关</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负责会议的组织、协调和服务工作。</w:t>
      </w:r>
    </w:p>
    <w:p w14:paraId="5F68484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九</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p>
    <w:p w14:paraId="11F4CD06">
      <w:pPr>
        <w:pStyle w:val="7"/>
        <w:rPr>
          <w:rFonts w:hint="eastAsia" w:asciiTheme="minorEastAsia" w:hAnsiTheme="minorEastAsia" w:eastAsiaTheme="minorEastAsia" w:cstheme="minorEastAsia"/>
          <w:b/>
          <w:bCs/>
          <w:color w:val="auto"/>
          <w:sz w:val="36"/>
          <w:szCs w:val="36"/>
        </w:rPr>
      </w:pPr>
    </w:p>
    <w:p w14:paraId="0E696CB1">
      <w:pPr>
        <w:bidi w:val="0"/>
        <w:rPr>
          <w:rFonts w:hint="eastAsia" w:asciiTheme="minorEastAsia" w:hAnsiTheme="minorEastAsia" w:eastAsiaTheme="minorEastAsia" w:cstheme="minorEastAsia"/>
          <w:b/>
          <w:bCs/>
        </w:rPr>
      </w:pPr>
    </w:p>
    <w:p w14:paraId="075F0FF0">
      <w:pPr>
        <w:bidi w:val="0"/>
        <w:rPr>
          <w:rFonts w:hint="eastAsia" w:asciiTheme="minorEastAsia" w:hAnsiTheme="minorEastAsia" w:eastAsiaTheme="minorEastAsia" w:cstheme="minorEastAsia"/>
          <w:b/>
          <w:bCs/>
        </w:rPr>
      </w:pPr>
    </w:p>
    <w:p w14:paraId="12DC9B7E">
      <w:pPr>
        <w:bidi w:val="0"/>
        <w:rPr>
          <w:rFonts w:hint="eastAsia" w:asciiTheme="minorEastAsia" w:hAnsiTheme="minorEastAsia" w:eastAsiaTheme="minorEastAsia" w:cstheme="minorEastAsia"/>
          <w:b/>
          <w:bCs/>
        </w:rPr>
      </w:pPr>
    </w:p>
    <w:p w14:paraId="67BEA244">
      <w:pPr>
        <w:bidi w:val="0"/>
        <w:rPr>
          <w:rFonts w:hint="eastAsia" w:asciiTheme="minorEastAsia" w:hAnsiTheme="minorEastAsia" w:eastAsiaTheme="minorEastAsia" w:cstheme="minorEastAsia"/>
          <w:b/>
          <w:bCs/>
        </w:rPr>
      </w:pPr>
    </w:p>
    <w:p w14:paraId="736726CC">
      <w:pPr>
        <w:bidi w:val="0"/>
        <w:rPr>
          <w:rFonts w:hint="eastAsia" w:asciiTheme="minorEastAsia" w:hAnsiTheme="minorEastAsia" w:eastAsiaTheme="minorEastAsia" w:cstheme="minorEastAsia"/>
          <w:b/>
          <w:bCs/>
        </w:rPr>
      </w:pPr>
    </w:p>
    <w:p w14:paraId="77AE41F2">
      <w:pPr>
        <w:pStyle w:val="3"/>
        <w:bidi w:val="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党建目标责任管理制度</w:t>
      </w:r>
    </w:p>
    <w:p w14:paraId="54B8B56C">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w:t>
      </w:r>
      <w:r>
        <w:rPr>
          <w:rFonts w:hint="eastAsia" w:asciiTheme="minorEastAsia" w:hAnsiTheme="minorEastAsia" w:eastAsiaTheme="minorEastAsia" w:cstheme="minorEastAsia"/>
          <w:b w:val="0"/>
          <w:bCs w:val="0"/>
          <w:color w:val="auto"/>
          <w:sz w:val="24"/>
          <w:szCs w:val="24"/>
          <w:lang w:eastAsia="zh-CN"/>
        </w:rPr>
        <w:t>了</w:t>
      </w:r>
      <w:r>
        <w:rPr>
          <w:rFonts w:hint="eastAsia" w:asciiTheme="minorEastAsia" w:hAnsiTheme="minorEastAsia" w:eastAsiaTheme="minorEastAsia" w:cstheme="minorEastAsia"/>
          <w:b w:val="0"/>
          <w:bCs w:val="0"/>
          <w:color w:val="auto"/>
          <w:sz w:val="24"/>
          <w:szCs w:val="24"/>
        </w:rPr>
        <w:t>加强党的基层组织建设，推动党支部工作</w:t>
      </w:r>
      <w:r>
        <w:rPr>
          <w:rFonts w:hint="eastAsia" w:asciiTheme="minorEastAsia" w:hAnsiTheme="minorEastAsia" w:eastAsiaTheme="minorEastAsia" w:cstheme="minorEastAsia"/>
          <w:b w:val="0"/>
          <w:bCs w:val="0"/>
          <w:color w:val="auto"/>
          <w:sz w:val="24"/>
          <w:szCs w:val="24"/>
          <w:lang w:eastAsia="zh-CN"/>
        </w:rPr>
        <w:t>管理</w:t>
      </w:r>
      <w:r>
        <w:rPr>
          <w:rFonts w:hint="eastAsia" w:asciiTheme="minorEastAsia" w:hAnsiTheme="minorEastAsia" w:eastAsiaTheme="minorEastAsia" w:cstheme="minorEastAsia"/>
          <w:b w:val="0"/>
          <w:bCs w:val="0"/>
          <w:color w:val="auto"/>
          <w:sz w:val="24"/>
          <w:szCs w:val="24"/>
        </w:rPr>
        <w:t>的规范化、制度化、科学化</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结合白城市医疗保障局工作实际，制</w:t>
      </w:r>
      <w:r>
        <w:rPr>
          <w:rFonts w:hint="eastAsia" w:asciiTheme="minorEastAsia" w:hAnsiTheme="minorEastAsia" w:eastAsiaTheme="minorEastAsia" w:cstheme="minorEastAsia"/>
          <w:b w:val="0"/>
          <w:bCs w:val="0"/>
          <w:color w:val="auto"/>
          <w:sz w:val="24"/>
          <w:szCs w:val="24"/>
        </w:rPr>
        <w:t>订本制度。　</w:t>
      </w:r>
      <w:r>
        <w:rPr>
          <w:rFonts w:hint="eastAsia" w:asciiTheme="minorEastAsia" w:hAnsiTheme="minorEastAsia" w:eastAsiaTheme="minorEastAsia" w:cstheme="minorEastAsia"/>
          <w:b w:val="0"/>
          <w:bCs w:val="0"/>
          <w:color w:val="auto"/>
          <w:kern w:val="0"/>
          <w:sz w:val="24"/>
          <w:szCs w:val="24"/>
          <w:shd w:val="clear" w:color="auto" w:fill="FFFFFF"/>
        </w:rPr>
        <w:t>　</w:t>
      </w:r>
    </w:p>
    <w:p w14:paraId="20EFCC81">
      <w:pPr>
        <w:pageBreakBefore w:val="0"/>
        <w:widowControl/>
        <w:kinsoku/>
        <w:wordWrap/>
        <w:overflowPunct/>
        <w:topLinePunct w:val="0"/>
        <w:autoSpaceDE/>
        <w:autoSpaceDN/>
        <w:bidi w:val="0"/>
        <w:adjustRightInd/>
        <w:spacing w:before="96" w:line="580" w:lineRule="exact"/>
        <w:ind w:left="0"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第一条 基本内容及目标分解　　</w:t>
      </w:r>
    </w:p>
    <w:p w14:paraId="62293D8E">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按照《中国共产党章程》和《中国共产党党和国家机关基层组织工作条例》</w:t>
      </w:r>
      <w:r>
        <w:rPr>
          <w:rFonts w:hint="eastAsia" w:asciiTheme="minorEastAsia" w:hAnsiTheme="minorEastAsia" w:eastAsiaTheme="minorEastAsia" w:cstheme="minorEastAsia"/>
          <w:b w:val="0"/>
          <w:bCs w:val="0"/>
          <w:color w:val="auto"/>
          <w:sz w:val="24"/>
          <w:szCs w:val="24"/>
          <w:lang w:eastAsia="zh-CN"/>
        </w:rPr>
        <w:t>的</w:t>
      </w:r>
      <w:r>
        <w:rPr>
          <w:rFonts w:hint="eastAsia" w:asciiTheme="minorEastAsia" w:hAnsiTheme="minorEastAsia" w:eastAsiaTheme="minorEastAsia" w:cstheme="minorEastAsia"/>
          <w:b w:val="0"/>
          <w:bCs w:val="0"/>
          <w:color w:val="auto"/>
          <w:sz w:val="24"/>
          <w:szCs w:val="24"/>
        </w:rPr>
        <w:t>规定</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党支部党建工作内容</w:t>
      </w:r>
      <w:r>
        <w:rPr>
          <w:rFonts w:hint="eastAsia" w:asciiTheme="minorEastAsia" w:hAnsiTheme="minorEastAsia" w:eastAsiaTheme="minorEastAsia" w:cstheme="minorEastAsia"/>
          <w:b w:val="0"/>
          <w:bCs w:val="0"/>
          <w:color w:val="auto"/>
          <w:sz w:val="24"/>
          <w:szCs w:val="24"/>
          <w:lang w:eastAsia="zh-CN"/>
        </w:rPr>
        <w:t>包括</w:t>
      </w:r>
      <w:r>
        <w:rPr>
          <w:rFonts w:hint="eastAsia" w:asciiTheme="minorEastAsia" w:hAnsiTheme="minorEastAsia" w:eastAsiaTheme="minorEastAsia" w:cstheme="minorEastAsia"/>
          <w:b w:val="0"/>
          <w:bCs w:val="0"/>
          <w:color w:val="auto"/>
          <w:sz w:val="24"/>
          <w:szCs w:val="24"/>
        </w:rPr>
        <w:t>：思想政治建设、组织建设、作风建设。各项工作的基本内容及目标分解如下：　　</w:t>
      </w:r>
    </w:p>
    <w:p w14:paraId="13A0993E">
      <w:pPr>
        <w:pageBreakBefore w:val="0"/>
        <w:widowControl/>
        <w:kinsoku/>
        <w:wordWrap/>
        <w:overflowPunct/>
        <w:topLinePunct w:val="0"/>
        <w:autoSpaceDE/>
        <w:autoSpaceDN/>
        <w:bidi w:val="0"/>
        <w:adjustRightInd/>
        <w:spacing w:before="96" w:line="580" w:lineRule="exact"/>
        <w:ind w:left="0"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)思想政治建设　　</w:t>
      </w:r>
    </w:p>
    <w:p w14:paraId="56BB4B4D">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用</w:t>
      </w:r>
      <w:r>
        <w:rPr>
          <w:rFonts w:hint="eastAsia" w:asciiTheme="minorEastAsia" w:hAnsiTheme="minorEastAsia" w:eastAsiaTheme="minorEastAsia" w:cstheme="minorEastAsia"/>
          <w:b w:val="0"/>
          <w:bCs w:val="0"/>
          <w:color w:val="auto"/>
          <w:sz w:val="24"/>
          <w:szCs w:val="24"/>
          <w:lang w:val="en-US" w:eastAsia="zh-CN"/>
        </w:rPr>
        <w:t>习近平新时代中国特色社会主义思想武装党员</w:t>
      </w:r>
      <w:r>
        <w:rPr>
          <w:rFonts w:hint="eastAsia" w:asciiTheme="minorEastAsia" w:hAnsiTheme="minorEastAsia" w:eastAsiaTheme="minorEastAsia" w:cstheme="minorEastAsia"/>
          <w:b w:val="0"/>
          <w:bCs w:val="0"/>
          <w:color w:val="auto"/>
          <w:sz w:val="24"/>
          <w:szCs w:val="24"/>
        </w:rPr>
        <w:t>。各级党组织必须加强党的政治理论和党的基本路线的学习和教育。发扬理论联系实际的好学风，结合我市发展大局和中心的工作实际，统一思想认识，解决存在的突出问题。建立健全学习制度，保证时间、人员和内容三落实。以理论学习、解放思想为先导，建设学习型机关。　　</w:t>
      </w:r>
    </w:p>
    <w:p w14:paraId="320B5C78">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坚定正确的政治方向。要通过学习和教育，不断提高广大党员干部与党中央保持高度一致的自觉性，坚持改革开放，坚持把发展作为执政兴国的第一要务。正确处理党内矛盾，把贯彻</w:t>
      </w:r>
      <w:r>
        <w:rPr>
          <w:rFonts w:hint="eastAsia" w:asciiTheme="minorEastAsia" w:hAnsiTheme="minorEastAsia" w:eastAsiaTheme="minorEastAsia" w:cstheme="minorEastAsia"/>
          <w:b w:val="0"/>
          <w:bCs w:val="0"/>
          <w:color w:val="auto"/>
          <w:sz w:val="24"/>
          <w:szCs w:val="24"/>
          <w:lang w:val="en-US" w:eastAsia="zh-CN"/>
        </w:rPr>
        <w:t>十九</w:t>
      </w:r>
      <w:r>
        <w:rPr>
          <w:rFonts w:hint="eastAsia" w:asciiTheme="minorEastAsia" w:hAnsiTheme="minorEastAsia" w:eastAsiaTheme="minorEastAsia" w:cstheme="minorEastAsia"/>
          <w:b w:val="0"/>
          <w:bCs w:val="0"/>
          <w:color w:val="auto"/>
          <w:sz w:val="24"/>
          <w:szCs w:val="24"/>
        </w:rPr>
        <w:t>大精神作为当前和今后一个时期党的建设的一项重要任务来抓，确保党的基层组织的先进性，充分发挥党组织的战斗堡垒作用，保证市委市政府各项决策部署的贯彻落实。　　</w:t>
      </w:r>
    </w:p>
    <w:p w14:paraId="36884030">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做好经常性的思想政治工作。以形式多样的党组织活动为载体，在党员群众中进行共产主义，马克思主义，爱国主义、集体主义、职业道德、社会公德、优良传统和民主法制教育，开展精神文明、政治文明建设，树立正确的世界观、人生观、价值观。探索和创新新时期做好思想政治工作的方式方法，营造团结、务实、进取的良好氛围，为各项工作的正常开展和任务的完成提供强有力的思想保障。　　</w:t>
      </w:r>
    </w:p>
    <w:p w14:paraId="442BD4B1">
      <w:pPr>
        <w:pageBreakBefore w:val="0"/>
        <w:widowControl/>
        <w:kinsoku/>
        <w:wordWrap/>
        <w:overflowPunct/>
        <w:topLinePunct w:val="0"/>
        <w:autoSpaceDE/>
        <w:autoSpaceDN/>
        <w:bidi w:val="0"/>
        <w:adjustRightInd/>
        <w:spacing w:before="96" w:line="580" w:lineRule="exact"/>
        <w:ind w:left="0"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)组织建设　　</w:t>
      </w:r>
    </w:p>
    <w:p w14:paraId="38C75698">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健全组织机构，抓好班子建设。按照《条例》规定，设置党的组织机构，明确工作分工；按期按规定进行换届选举；支委会出现缺额，及时增补。坚持民主集中制，党内重大问题班子集体讨论决定，班子成员团结协作，模范执行上级和集体的决定。　　</w:t>
      </w:r>
    </w:p>
    <w:p w14:paraId="282A2F22">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做好发展党员工作。按照坚持标准，保证质量，改善结构，慎重发展的发展党员工作方针，加强对入党积极分子和发展对象的培养、教育和考察，抓好培训工作，每季度研究一次发展党员工作，规范入党手续，开展推优工作。注意从年轻干部、妇女干部以及业务骨干中培养和发展党员。保证发展党员的质量，不断改善党员队伍的结构，为基层党组织注入生机和活力。　　</w:t>
      </w:r>
    </w:p>
    <w:p w14:paraId="6BD8F9F1">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充分发挥党员的先锋模范作用。大力开展保持共产党员先进性教育活动，坚持和完善民主评议党员制度，表彰先进，妥善处置不合格党员，不断提高党员队伍的综合素质，保持党员队伍的先进性。实行党员目标管理，经常给党员交任务、定目标、提要求，积极探索发挥党员作用的有效途径，充分发挥党员的先锋模范作用。　　</w:t>
      </w:r>
    </w:p>
    <w:p w14:paraId="55EEFF61">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落实组织生活制度。严格落实三会一课制度，做到每月一次党小组会，每月一次支委会，每季度不少于一次支部党员大会，每</w:t>
      </w:r>
      <w:r>
        <w:rPr>
          <w:rFonts w:hint="eastAsia" w:asciiTheme="minorEastAsia" w:hAnsiTheme="minorEastAsia" w:eastAsiaTheme="minorEastAsia" w:cstheme="minorEastAsia"/>
          <w:b w:val="0"/>
          <w:bCs w:val="0"/>
          <w:color w:val="auto"/>
          <w:sz w:val="24"/>
          <w:szCs w:val="24"/>
          <w:lang w:val="en-US" w:eastAsia="zh-CN"/>
        </w:rPr>
        <w:t>季度</w:t>
      </w:r>
      <w:r>
        <w:rPr>
          <w:rFonts w:hint="eastAsia" w:asciiTheme="minorEastAsia" w:hAnsiTheme="minorEastAsia" w:eastAsiaTheme="minorEastAsia" w:cstheme="minorEastAsia"/>
          <w:b w:val="0"/>
          <w:bCs w:val="0"/>
          <w:color w:val="auto"/>
          <w:sz w:val="24"/>
          <w:szCs w:val="24"/>
        </w:rPr>
        <w:t>一次党课。并做到每年一次民主评议党员，每年一次民主生活会，各种记录登记规范。积极探索创新组织生活的有效形式，丰富组织生活内容，不断提高组织生活质量。　　</w:t>
      </w:r>
    </w:p>
    <w:p w14:paraId="2F22712C">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做好党费的收缴和管理工作。党员按标准每月交纳党费，支部每月按时上缴一次党费，定期向党员公布党费收缴情况。　　</w:t>
      </w:r>
    </w:p>
    <w:p w14:paraId="5E61E99C">
      <w:pPr>
        <w:pageBreakBefore w:val="0"/>
        <w:widowControl/>
        <w:kinsoku/>
        <w:wordWrap/>
        <w:overflowPunct/>
        <w:topLinePunct w:val="0"/>
        <w:autoSpaceDE/>
        <w:autoSpaceDN/>
        <w:bidi w:val="0"/>
        <w:adjustRightInd/>
        <w:spacing w:before="96" w:line="580" w:lineRule="exact"/>
        <w:ind w:left="0"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)作风建设　　</w:t>
      </w:r>
    </w:p>
    <w:p w14:paraId="7FD256B2">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深入开展党性党风党纪教育。将党风廉政教育列入议事日程，及时传达贯彻上级的工作要求和会议精神，对上级党组织的每项教育安排做到有研究、有布置、有检查、有总结，利用正反典型进行针对性教育，及时纠正党内不良风气和不廉洁行为，积极开展普法教育，党员讲学习、讲政治、讲党性，廉洁自律，依法办事。　　</w:t>
      </w:r>
    </w:p>
    <w:p w14:paraId="6A00D751">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落实党风廉政责任制规定。结合中心实际制定党风廉政责任制并组织实施，坚持支部统一领导，党政齐抓共管，依靠群众的支持和参与，明确责任内容、责任考核和责任追究，分解任务，责任到人。落实《条例》规定的主要监督内容和监督方法。　　</w:t>
      </w:r>
    </w:p>
    <w:p w14:paraId="1F987427">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严厉查处党内违法违纪行为。大胆检举揭发违法违纪行为，积极配合司法部门和纪检监察机关查处违法违纪案件，及时召开支部大会讨论违纪党员的处分意见，保护举报人正当权益，对本单位存在的问题剖析原因，吸取教训，健全制度，采取得力措施堵塞漏洞。　　</w:t>
      </w:r>
    </w:p>
    <w:p w14:paraId="71836488">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加强机关作风建设。发挥党员在机关作风建设中的模范作用，抓党建促效能；增强服务意识，提高办事效率。采取多种形式经常听取基层和群众的意见，认真解决他们提出的热点、难点、重点问题（包括优化软环境，精简审批程序等）。</w:t>
      </w:r>
    </w:p>
    <w:p w14:paraId="0685A39F">
      <w:pPr>
        <w:pageBreakBefore w:val="0"/>
        <w:widowControl/>
        <w:kinsoku/>
        <w:wordWrap/>
        <w:overflowPunct/>
        <w:topLinePunct w:val="0"/>
        <w:autoSpaceDE/>
        <w:autoSpaceDN/>
        <w:bidi w:val="0"/>
        <w:adjustRightInd/>
        <w:spacing w:before="96" w:line="580" w:lineRule="exact"/>
        <w:ind w:left="0"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条 责任分工</w:t>
      </w:r>
    </w:p>
    <w:p w14:paraId="01936798">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（一）</w:t>
      </w:r>
      <w:r>
        <w:rPr>
          <w:rFonts w:hint="eastAsia" w:asciiTheme="minorEastAsia" w:hAnsiTheme="minorEastAsia" w:eastAsiaTheme="minorEastAsia" w:cstheme="minorEastAsia"/>
          <w:b w:val="0"/>
          <w:bCs w:val="0"/>
          <w:color w:val="auto"/>
          <w:sz w:val="24"/>
          <w:szCs w:val="24"/>
        </w:rPr>
        <w:t>党支部书记是落实党支部工作目标管理责任制的第一责任人，对落实责任制工作要亲自抓。设有副书记的支部，由副书记负责党支部目标管理责任制的日常工作。　　</w:t>
      </w:r>
    </w:p>
    <w:p w14:paraId="7B6D8635">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（二）</w:t>
      </w:r>
      <w:r>
        <w:rPr>
          <w:rFonts w:hint="eastAsia" w:asciiTheme="minorEastAsia" w:hAnsiTheme="minorEastAsia" w:eastAsiaTheme="minorEastAsia" w:cstheme="minorEastAsia"/>
          <w:b w:val="0"/>
          <w:bCs w:val="0"/>
          <w:color w:val="auto"/>
          <w:sz w:val="24"/>
          <w:szCs w:val="24"/>
        </w:rPr>
        <w:t>党支部组织委员、宣传委员、纪检委员等支委会成员，对党支部的思想政治建设、组织建设、作风建设等工作，要有明确分工，在支委会的统一领导下，负责分工范围内的具体工作，并做到团结协作，尽职尽责。　</w:t>
      </w:r>
      <w:r>
        <w:rPr>
          <w:rFonts w:hint="eastAsia" w:asciiTheme="minorEastAsia" w:hAnsiTheme="minorEastAsia" w:eastAsiaTheme="minorEastAsia" w:cstheme="minorEastAsia"/>
          <w:b w:val="0"/>
          <w:bCs w:val="0"/>
          <w:color w:val="auto"/>
          <w:kern w:val="0"/>
          <w:sz w:val="24"/>
          <w:szCs w:val="24"/>
          <w:shd w:val="clear" w:color="auto" w:fill="FFFFFF"/>
        </w:rPr>
        <w:t>　</w:t>
      </w:r>
    </w:p>
    <w:p w14:paraId="36FDF824">
      <w:pPr>
        <w:pageBreakBefore w:val="0"/>
        <w:widowControl/>
        <w:kinsoku/>
        <w:wordWrap/>
        <w:overflowPunct/>
        <w:topLinePunct w:val="0"/>
        <w:autoSpaceDE/>
        <w:autoSpaceDN/>
        <w:bidi w:val="0"/>
        <w:adjustRightInd/>
        <w:spacing w:before="96" w:line="580" w:lineRule="exact"/>
        <w:ind w:left="0"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eastAsiaTheme="minorEastAsia" w:cstheme="minorEastAsia"/>
          <w:b/>
          <w:bCs/>
          <w:color w:val="auto"/>
          <w:sz w:val="24"/>
          <w:szCs w:val="24"/>
          <w:lang w:eastAsia="zh-CN"/>
        </w:rPr>
        <w:t>三</w:t>
      </w:r>
      <w:r>
        <w:rPr>
          <w:rFonts w:hint="eastAsia" w:asciiTheme="minorEastAsia" w:hAnsiTheme="minorEastAsia" w:eastAsiaTheme="minorEastAsia" w:cstheme="minorEastAsia"/>
          <w:b/>
          <w:bCs/>
          <w:color w:val="auto"/>
          <w:sz w:val="24"/>
          <w:szCs w:val="24"/>
        </w:rPr>
        <w:t xml:space="preserve">条 </w:t>
      </w:r>
      <w:r>
        <w:rPr>
          <w:rFonts w:hint="eastAsia" w:asciiTheme="minorEastAsia" w:hAnsiTheme="minorEastAsia" w:eastAsiaTheme="minorEastAsia" w:cstheme="minorEastAsia"/>
          <w:b/>
          <w:bCs/>
          <w:color w:val="auto"/>
          <w:kern w:val="0"/>
          <w:sz w:val="24"/>
          <w:szCs w:val="24"/>
          <w:shd w:val="clear" w:color="auto" w:fill="FFFFFF"/>
        </w:rPr>
        <w:t>考</w:t>
      </w:r>
      <w:r>
        <w:rPr>
          <w:rFonts w:hint="eastAsia" w:asciiTheme="minorEastAsia" w:hAnsiTheme="minorEastAsia" w:eastAsiaTheme="minorEastAsia" w:cstheme="minorEastAsia"/>
          <w:b/>
          <w:bCs/>
          <w:color w:val="auto"/>
          <w:sz w:val="24"/>
          <w:szCs w:val="24"/>
        </w:rPr>
        <w:t>核</w:t>
      </w:r>
    </w:p>
    <w:p w14:paraId="20EEC22A">
      <w:pPr>
        <w:pageBreakBefore w:val="0"/>
        <w:widowControl/>
        <w:kinsoku/>
        <w:wordWrap/>
        <w:overflowPunct/>
        <w:topLinePunct w:val="0"/>
        <w:autoSpaceDE/>
        <w:autoSpaceDN/>
        <w:bidi w:val="0"/>
        <w:adjustRightInd/>
        <w:spacing w:before="96"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各党支部要按照考核细则和评分标准，在每年11月上旬以前完成对落实《责任制》的情况进行自查打分、自定考评等次，并报上级党组织，以备审核验收。12月中下旬，对党支部进行审核验收。</w:t>
      </w:r>
    </w:p>
    <w:p w14:paraId="78A3AF24">
      <w:pPr>
        <w:pageBreakBefore w:val="0"/>
        <w:widowControl/>
        <w:kinsoku/>
        <w:wordWrap/>
        <w:overflowPunct/>
        <w:topLinePunct w:val="0"/>
        <w:autoSpaceDE/>
        <w:autoSpaceDN/>
        <w:bidi w:val="0"/>
        <w:adjustRightInd/>
        <w:spacing w:before="96" w:line="580" w:lineRule="exact"/>
        <w:ind w:left="0"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第四条</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本制度自发布之日起实施。</w:t>
      </w:r>
      <w:r>
        <w:rPr>
          <w:rFonts w:hint="eastAsia" w:asciiTheme="minorEastAsia" w:hAnsiTheme="minorEastAsia" w:eastAsiaTheme="minorEastAsia" w:cstheme="minorEastAsia"/>
          <w:b/>
          <w:bCs/>
          <w:color w:val="auto"/>
          <w:sz w:val="24"/>
          <w:szCs w:val="24"/>
        </w:rPr>
        <w:t>　</w:t>
      </w:r>
    </w:p>
    <w:p w14:paraId="15E3D53E">
      <w:pPr>
        <w:bidi w:val="0"/>
        <w:rPr>
          <w:rFonts w:hint="eastAsia" w:asciiTheme="minorEastAsia" w:hAnsiTheme="minorEastAsia" w:eastAsiaTheme="minorEastAsia" w:cstheme="minorEastAsia"/>
          <w:b w:val="0"/>
          <w:bCs w:val="0"/>
        </w:rPr>
      </w:pPr>
    </w:p>
    <w:p w14:paraId="29F75B46">
      <w:pPr>
        <w:bidi w:val="0"/>
        <w:rPr>
          <w:rFonts w:hint="eastAsia" w:asciiTheme="minorEastAsia" w:hAnsiTheme="minorEastAsia" w:eastAsiaTheme="minorEastAsia" w:cstheme="minorEastAsia"/>
          <w:b/>
          <w:bCs/>
        </w:rPr>
      </w:pPr>
    </w:p>
    <w:p w14:paraId="21012837">
      <w:pPr>
        <w:bidi w:val="0"/>
        <w:rPr>
          <w:rFonts w:hint="eastAsia" w:asciiTheme="minorEastAsia" w:hAnsiTheme="minorEastAsia" w:eastAsiaTheme="minorEastAsia" w:cstheme="minorEastAsia"/>
          <w:b/>
          <w:bCs/>
        </w:rPr>
      </w:pPr>
    </w:p>
    <w:p w14:paraId="5FB5ED5E">
      <w:pPr>
        <w:bidi w:val="0"/>
        <w:rPr>
          <w:rFonts w:hint="eastAsia" w:asciiTheme="minorEastAsia" w:hAnsiTheme="minorEastAsia" w:eastAsiaTheme="minorEastAsia" w:cstheme="minorEastAsia"/>
          <w:b/>
          <w:bCs/>
        </w:rPr>
      </w:pPr>
    </w:p>
    <w:p w14:paraId="10A173FC">
      <w:pPr>
        <w:bidi w:val="0"/>
        <w:rPr>
          <w:rFonts w:hint="eastAsia" w:asciiTheme="minorEastAsia" w:hAnsiTheme="minorEastAsia" w:eastAsiaTheme="minorEastAsia" w:cstheme="minorEastAsia"/>
          <w:b/>
          <w:bCs/>
        </w:rPr>
      </w:pPr>
    </w:p>
    <w:p w14:paraId="50381FB8">
      <w:pPr>
        <w:bidi w:val="0"/>
        <w:rPr>
          <w:rFonts w:hint="eastAsia" w:asciiTheme="minorEastAsia" w:hAnsiTheme="minorEastAsia" w:eastAsiaTheme="minorEastAsia" w:cstheme="minorEastAsia"/>
          <w:b/>
          <w:bCs/>
        </w:rPr>
      </w:pPr>
    </w:p>
    <w:p w14:paraId="16B1ABB6">
      <w:pPr>
        <w:bidi w:val="0"/>
        <w:rPr>
          <w:rFonts w:hint="eastAsia" w:asciiTheme="minorEastAsia" w:hAnsiTheme="minorEastAsia" w:eastAsiaTheme="minorEastAsia" w:cstheme="minorEastAsia"/>
          <w:b/>
          <w:bCs/>
        </w:rPr>
      </w:pPr>
    </w:p>
    <w:p w14:paraId="217A7E65">
      <w:pPr>
        <w:bidi w:val="0"/>
        <w:rPr>
          <w:rFonts w:hint="eastAsia" w:asciiTheme="minorEastAsia" w:hAnsiTheme="minorEastAsia" w:eastAsiaTheme="minorEastAsia" w:cstheme="minorEastAsia"/>
          <w:b/>
          <w:bCs/>
        </w:rPr>
      </w:pPr>
    </w:p>
    <w:p w14:paraId="06250B43">
      <w:pPr>
        <w:bidi w:val="0"/>
        <w:rPr>
          <w:rFonts w:hint="eastAsia" w:asciiTheme="minorEastAsia" w:hAnsiTheme="minorEastAsia" w:eastAsiaTheme="minorEastAsia" w:cstheme="minorEastAsia"/>
          <w:b/>
          <w:bCs/>
        </w:rPr>
      </w:pPr>
    </w:p>
    <w:p w14:paraId="0A60EC6E">
      <w:pPr>
        <w:bidi w:val="0"/>
        <w:rPr>
          <w:rFonts w:hint="eastAsia" w:asciiTheme="minorEastAsia" w:hAnsiTheme="minorEastAsia" w:eastAsiaTheme="minorEastAsia" w:cstheme="minorEastAsia"/>
          <w:b/>
          <w:bCs/>
        </w:rPr>
      </w:pPr>
    </w:p>
    <w:p w14:paraId="5C7F648E">
      <w:pPr>
        <w:bidi w:val="0"/>
        <w:rPr>
          <w:rFonts w:hint="eastAsia" w:asciiTheme="minorEastAsia" w:hAnsiTheme="minorEastAsia" w:eastAsiaTheme="minorEastAsia" w:cstheme="minorEastAsia"/>
          <w:b/>
          <w:bCs/>
        </w:rPr>
      </w:pPr>
    </w:p>
    <w:p w14:paraId="10BBE8CC">
      <w:pPr>
        <w:bidi w:val="0"/>
        <w:rPr>
          <w:rFonts w:hint="eastAsia" w:asciiTheme="minorEastAsia" w:hAnsiTheme="minorEastAsia" w:eastAsiaTheme="minorEastAsia" w:cstheme="minorEastAsia"/>
          <w:b/>
          <w:bCs/>
        </w:rPr>
      </w:pPr>
    </w:p>
    <w:p w14:paraId="21347188">
      <w:pPr>
        <w:bidi w:val="0"/>
        <w:rPr>
          <w:rFonts w:hint="eastAsia" w:asciiTheme="minorEastAsia" w:hAnsiTheme="minorEastAsia" w:eastAsiaTheme="minorEastAsia" w:cstheme="minorEastAsia"/>
          <w:b/>
          <w:bCs/>
        </w:rPr>
      </w:pPr>
    </w:p>
    <w:p w14:paraId="1726AE88">
      <w:pPr>
        <w:bidi w:val="0"/>
        <w:rPr>
          <w:rFonts w:hint="eastAsia" w:asciiTheme="minorEastAsia" w:hAnsiTheme="minorEastAsia" w:eastAsiaTheme="minorEastAsia" w:cstheme="minorEastAsia"/>
          <w:b/>
          <w:bCs/>
        </w:rPr>
      </w:pPr>
    </w:p>
    <w:p w14:paraId="37510BC3">
      <w:pPr>
        <w:bidi w:val="0"/>
        <w:rPr>
          <w:rFonts w:hint="eastAsia" w:asciiTheme="minorEastAsia" w:hAnsiTheme="minorEastAsia" w:eastAsiaTheme="minorEastAsia" w:cstheme="minorEastAsia"/>
          <w:b/>
          <w:bCs/>
        </w:rPr>
      </w:pPr>
    </w:p>
    <w:p w14:paraId="273E1227">
      <w:pPr>
        <w:bidi w:val="0"/>
        <w:rPr>
          <w:rFonts w:hint="eastAsia" w:asciiTheme="minorEastAsia" w:hAnsiTheme="minorEastAsia" w:eastAsiaTheme="minorEastAsia" w:cstheme="minorEastAsia"/>
          <w:b/>
          <w:bCs/>
        </w:rPr>
      </w:pPr>
    </w:p>
    <w:p w14:paraId="0BF983A0">
      <w:pPr>
        <w:bidi w:val="0"/>
        <w:rPr>
          <w:rFonts w:hint="eastAsia" w:asciiTheme="minorEastAsia" w:hAnsiTheme="minorEastAsia" w:eastAsiaTheme="minorEastAsia" w:cstheme="minorEastAsia"/>
          <w:b/>
          <w:bCs/>
        </w:rPr>
      </w:pPr>
    </w:p>
    <w:p w14:paraId="09FF900B">
      <w:pPr>
        <w:bidi w:val="0"/>
        <w:rPr>
          <w:rFonts w:hint="eastAsia" w:asciiTheme="minorEastAsia" w:hAnsiTheme="minorEastAsia" w:eastAsiaTheme="minorEastAsia" w:cstheme="minorEastAsia"/>
          <w:b/>
          <w:bCs/>
        </w:rPr>
      </w:pPr>
    </w:p>
    <w:p w14:paraId="10CDF410">
      <w:pPr>
        <w:bidi w:val="0"/>
        <w:rPr>
          <w:rFonts w:hint="eastAsia" w:asciiTheme="minorEastAsia" w:hAnsiTheme="minorEastAsia" w:eastAsiaTheme="minorEastAsia" w:cstheme="minorEastAsia"/>
          <w:b/>
          <w:bCs/>
        </w:rPr>
      </w:pPr>
    </w:p>
    <w:p w14:paraId="63C53FF8">
      <w:pPr>
        <w:bidi w:val="0"/>
        <w:rPr>
          <w:rFonts w:hint="eastAsia" w:asciiTheme="minorEastAsia" w:hAnsiTheme="minorEastAsia" w:eastAsiaTheme="minorEastAsia" w:cstheme="minorEastAsia"/>
          <w:b/>
          <w:bCs/>
        </w:rPr>
      </w:pPr>
    </w:p>
    <w:p w14:paraId="524066C2">
      <w:pPr>
        <w:bidi w:val="0"/>
        <w:rPr>
          <w:rFonts w:hint="eastAsia" w:asciiTheme="minorEastAsia" w:hAnsiTheme="minorEastAsia" w:eastAsiaTheme="minorEastAsia" w:cstheme="minorEastAsia"/>
          <w:b/>
          <w:bCs/>
        </w:rPr>
      </w:pPr>
    </w:p>
    <w:p w14:paraId="52C4CDBA">
      <w:pPr>
        <w:bidi w:val="0"/>
        <w:rPr>
          <w:rFonts w:hint="eastAsia" w:asciiTheme="minorEastAsia" w:hAnsiTheme="minorEastAsia" w:eastAsiaTheme="minorEastAsia" w:cstheme="minorEastAsia"/>
          <w:b/>
          <w:bCs/>
        </w:rPr>
      </w:pPr>
    </w:p>
    <w:p w14:paraId="4FD81732">
      <w:pPr>
        <w:bidi w:val="0"/>
        <w:rPr>
          <w:rFonts w:hint="eastAsia" w:asciiTheme="minorEastAsia" w:hAnsiTheme="minorEastAsia" w:eastAsiaTheme="minorEastAsia" w:cstheme="minorEastAsia"/>
          <w:b/>
          <w:bCs/>
        </w:rPr>
      </w:pPr>
    </w:p>
    <w:p w14:paraId="5D9F82D2">
      <w:pPr>
        <w:bidi w:val="0"/>
        <w:rPr>
          <w:rFonts w:hint="eastAsia" w:asciiTheme="minorEastAsia" w:hAnsiTheme="minorEastAsia" w:eastAsiaTheme="minorEastAsia" w:cstheme="minorEastAsia"/>
          <w:b/>
          <w:bCs/>
        </w:rPr>
      </w:pPr>
    </w:p>
    <w:p w14:paraId="09BE656B">
      <w:pPr>
        <w:bidi w:val="0"/>
        <w:rPr>
          <w:rFonts w:hint="eastAsia" w:asciiTheme="minorEastAsia" w:hAnsiTheme="minorEastAsia" w:eastAsiaTheme="minorEastAsia" w:cstheme="minorEastAsia"/>
          <w:b/>
          <w:bCs/>
        </w:rPr>
      </w:pPr>
    </w:p>
    <w:p w14:paraId="74C97C97">
      <w:pPr>
        <w:bidi w:val="0"/>
        <w:rPr>
          <w:rFonts w:hint="eastAsia" w:asciiTheme="minorEastAsia" w:hAnsiTheme="minorEastAsia" w:eastAsiaTheme="minorEastAsia" w:cstheme="minorEastAsia"/>
          <w:b/>
          <w:bCs/>
        </w:rPr>
      </w:pPr>
    </w:p>
    <w:p w14:paraId="2A9085E8">
      <w:pPr>
        <w:bidi w:val="0"/>
        <w:rPr>
          <w:rFonts w:hint="eastAsia" w:asciiTheme="minorEastAsia" w:hAnsiTheme="minorEastAsia" w:eastAsiaTheme="minorEastAsia" w:cstheme="minorEastAsia"/>
          <w:b/>
          <w:bCs/>
        </w:rPr>
      </w:pPr>
    </w:p>
    <w:p w14:paraId="2D110313">
      <w:pPr>
        <w:rPr>
          <w:rFonts w:hint="eastAsia" w:asciiTheme="minorEastAsia" w:hAnsiTheme="minorEastAsia" w:eastAsiaTheme="minorEastAsia" w:cstheme="minorEastAsia"/>
          <w:b/>
          <w:bCs/>
        </w:rPr>
      </w:pPr>
    </w:p>
    <w:p w14:paraId="57ACC51D">
      <w:pPr>
        <w:pStyle w:val="3"/>
        <w:bidi w:val="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rPr>
        <w:t>党风廉政建设责任制</w:t>
      </w:r>
      <w:r>
        <w:rPr>
          <w:rFonts w:hint="eastAsia" w:asciiTheme="minorEastAsia" w:hAnsiTheme="minorEastAsia" w:eastAsiaTheme="minorEastAsia" w:cstheme="minorEastAsia"/>
          <w:b/>
          <w:bCs/>
          <w:lang w:eastAsia="zh-CN"/>
        </w:rPr>
        <w:t>度</w:t>
      </w:r>
    </w:p>
    <w:p w14:paraId="0D9CEE4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为加强市</w:t>
      </w:r>
      <w:r>
        <w:rPr>
          <w:rFonts w:hint="eastAsia" w:asciiTheme="minorEastAsia" w:hAnsiTheme="minorEastAsia" w:eastAsiaTheme="minorEastAsia" w:cstheme="minorEastAsia"/>
          <w:b w:val="0"/>
          <w:bCs w:val="0"/>
          <w:color w:val="auto"/>
          <w:sz w:val="24"/>
          <w:szCs w:val="24"/>
          <w:lang w:eastAsia="zh-CN"/>
        </w:rPr>
        <w:t>医疗保障系统</w:t>
      </w:r>
      <w:r>
        <w:rPr>
          <w:rFonts w:hint="eastAsia" w:asciiTheme="minorEastAsia" w:hAnsiTheme="minorEastAsia" w:eastAsiaTheme="minorEastAsia" w:cstheme="minorEastAsia"/>
          <w:b w:val="0"/>
          <w:bCs w:val="0"/>
          <w:color w:val="auto"/>
          <w:sz w:val="24"/>
          <w:szCs w:val="24"/>
        </w:rPr>
        <w:t>党风廉政建设，保证党风廉政建设各项任务的全面落实，根据中央、省、市纪委的要求，</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lang w:eastAsia="zh-CN"/>
        </w:rPr>
        <w:t>制定</w:t>
      </w:r>
      <w:r>
        <w:rPr>
          <w:rFonts w:hint="eastAsia" w:asciiTheme="minorEastAsia" w:hAnsiTheme="minorEastAsia" w:eastAsiaTheme="minorEastAsia" w:cstheme="minorEastAsia"/>
          <w:b w:val="0"/>
          <w:bCs w:val="0"/>
          <w:color w:val="auto"/>
          <w:sz w:val="24"/>
          <w:szCs w:val="24"/>
          <w:lang w:val="en-US" w:eastAsia="zh-CN"/>
        </w:rPr>
        <w:t>本制度</w:t>
      </w:r>
      <w:r>
        <w:rPr>
          <w:rFonts w:hint="eastAsia" w:asciiTheme="minorEastAsia" w:hAnsiTheme="minorEastAsia" w:eastAsiaTheme="minorEastAsia" w:cstheme="minorEastAsia"/>
          <w:b w:val="0"/>
          <w:bCs w:val="0"/>
          <w:color w:val="auto"/>
          <w:sz w:val="24"/>
          <w:szCs w:val="24"/>
        </w:rPr>
        <w:t xml:space="preserve">。                        </w:t>
      </w:r>
    </w:p>
    <w:p w14:paraId="1079BD0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第一条 责任内容</w:t>
      </w:r>
    </w:p>
    <w:p w14:paraId="199EF47A">
      <w:pPr>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认真贯彻落实中央、省、市纪委关于党风廉政建设的决议、决定及指示，严格执行党风廉政建设的各项规定，坚决在政治上、思想上、行动上与党中央保持高度一致，保证党的路线、方针、政策和国家法律、政令的贯彻执行。</w:t>
      </w:r>
    </w:p>
    <w:p w14:paraId="4783250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分析研究职责范围内的党风廉政状况，组织制定本单位党风廉政建设制度和措施，并组织实施。</w:t>
      </w:r>
    </w:p>
    <w:p w14:paraId="51750C30">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组织学习党风廉政法规，开展党风廉政教育。</w:t>
      </w:r>
    </w:p>
    <w:p w14:paraId="05D0961E">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抓好委党员领导干部的廉洁自律，按照党章和国家有关规定进行监督、检查和考核。</w:t>
      </w:r>
    </w:p>
    <w:p w14:paraId="4B41FBE0">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支持和配合市纪委严肃查处党员和工作人员违反党纪政纪案件，纠正不正之风。</w:t>
      </w:r>
    </w:p>
    <w:p w14:paraId="262BFE70">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完成上级领导交办的其他党风廉政建设任务。</w:t>
      </w:r>
    </w:p>
    <w:p w14:paraId="1D09E2E3">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条 责任分工</w:t>
      </w:r>
    </w:p>
    <w:p w14:paraId="32814310">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全</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党风廉政建设工作由</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党组统一领导，统一部署，由各分管领导、各科室负责人按照“层级负责、梯次推进、权责统一”的责任体系组织落实。</w:t>
      </w:r>
    </w:p>
    <w:p w14:paraId="62DA95FD">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党组书记、</w:t>
      </w:r>
      <w:r>
        <w:rPr>
          <w:rFonts w:hint="eastAsia" w:asciiTheme="minorEastAsia" w:hAnsiTheme="minorEastAsia" w:eastAsiaTheme="minorEastAsia" w:cstheme="minorEastAsia"/>
          <w:b w:val="0"/>
          <w:bCs w:val="0"/>
          <w:color w:val="auto"/>
          <w:sz w:val="24"/>
          <w:szCs w:val="24"/>
          <w:lang w:eastAsia="zh-CN"/>
        </w:rPr>
        <w:t>局长</w:t>
      </w:r>
      <w:r>
        <w:rPr>
          <w:rFonts w:hint="eastAsia" w:asciiTheme="minorEastAsia" w:hAnsiTheme="minorEastAsia" w:eastAsiaTheme="minorEastAsia" w:cstheme="minorEastAsia"/>
          <w:b w:val="0"/>
          <w:bCs w:val="0"/>
          <w:color w:val="auto"/>
          <w:sz w:val="24"/>
          <w:szCs w:val="24"/>
        </w:rPr>
        <w:t>对全委的党风廉政建设工作负总责，对</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领导班子及其成员的党风廉政建设工作负直接领导责任。</w:t>
      </w:r>
    </w:p>
    <w:p w14:paraId="4CA5553F">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党组成员、副</w:t>
      </w:r>
      <w:r>
        <w:rPr>
          <w:rFonts w:hint="eastAsia" w:asciiTheme="minorEastAsia" w:hAnsiTheme="minorEastAsia" w:eastAsiaTheme="minorEastAsia" w:cstheme="minorEastAsia"/>
          <w:b w:val="0"/>
          <w:bCs w:val="0"/>
          <w:color w:val="auto"/>
          <w:sz w:val="24"/>
          <w:szCs w:val="24"/>
          <w:lang w:eastAsia="zh-CN"/>
        </w:rPr>
        <w:t>局长</w:t>
      </w:r>
      <w:r>
        <w:rPr>
          <w:rFonts w:hint="eastAsia" w:asciiTheme="minorEastAsia" w:hAnsiTheme="minorEastAsia" w:eastAsiaTheme="minorEastAsia" w:cstheme="minorEastAsia"/>
          <w:b w:val="0"/>
          <w:bCs w:val="0"/>
          <w:color w:val="auto"/>
          <w:sz w:val="24"/>
          <w:szCs w:val="24"/>
        </w:rPr>
        <w:t>按照集体领导与个人分工负责结合的原则，负责管好分管科室的党风廉政建设工作，并对其负直接领导责任。</w:t>
      </w:r>
    </w:p>
    <w:p w14:paraId="1821F51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党组成员</w:t>
      </w:r>
      <w:r>
        <w:rPr>
          <w:rFonts w:hint="eastAsia" w:asciiTheme="minorEastAsia" w:hAnsiTheme="minorEastAsia" w:eastAsiaTheme="minorEastAsia" w:cstheme="minorEastAsia"/>
          <w:b w:val="0"/>
          <w:bCs w:val="0"/>
          <w:color w:val="auto"/>
          <w:sz w:val="24"/>
          <w:szCs w:val="24"/>
          <w:lang w:eastAsia="zh-CN"/>
        </w:rPr>
        <w:t>、分管局长</w:t>
      </w:r>
      <w:r>
        <w:rPr>
          <w:rFonts w:hint="eastAsia" w:asciiTheme="minorEastAsia" w:hAnsiTheme="minorEastAsia" w:eastAsiaTheme="minorEastAsia" w:cstheme="minorEastAsia"/>
          <w:b w:val="0"/>
          <w:bCs w:val="0"/>
          <w:color w:val="auto"/>
          <w:sz w:val="24"/>
          <w:szCs w:val="24"/>
        </w:rPr>
        <w:t>协助</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党组书记、</w:t>
      </w:r>
      <w:r>
        <w:rPr>
          <w:rFonts w:hint="eastAsia" w:asciiTheme="minorEastAsia" w:hAnsiTheme="minorEastAsia" w:eastAsiaTheme="minorEastAsia" w:cstheme="minorEastAsia"/>
          <w:b w:val="0"/>
          <w:bCs w:val="0"/>
          <w:color w:val="auto"/>
          <w:sz w:val="24"/>
          <w:szCs w:val="24"/>
          <w:lang w:eastAsia="zh-CN"/>
        </w:rPr>
        <w:t>局长</w:t>
      </w:r>
      <w:r>
        <w:rPr>
          <w:rFonts w:hint="eastAsia" w:asciiTheme="minorEastAsia" w:hAnsiTheme="minorEastAsia" w:eastAsiaTheme="minorEastAsia" w:cstheme="minorEastAsia"/>
          <w:b w:val="0"/>
          <w:bCs w:val="0"/>
          <w:color w:val="auto"/>
          <w:sz w:val="24"/>
          <w:szCs w:val="24"/>
        </w:rPr>
        <w:t>抓好全</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党风廉政建设组织协调工作。</w:t>
      </w:r>
    </w:p>
    <w:p w14:paraId="436F06EA">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各科室负责人负责本科室党风廉政建设工作，并对本科室党风廉政建设负直接领导责任。</w:t>
      </w:r>
    </w:p>
    <w:p w14:paraId="29F67E9A">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eastAsiaTheme="minorEastAsia" w:cstheme="minorEastAsia"/>
          <w:b/>
          <w:bCs/>
          <w:color w:val="auto"/>
          <w:sz w:val="24"/>
          <w:szCs w:val="24"/>
          <w:lang w:eastAsia="zh-CN"/>
        </w:rPr>
        <w:t>三</w:t>
      </w:r>
      <w:r>
        <w:rPr>
          <w:rFonts w:hint="eastAsia" w:asciiTheme="minorEastAsia" w:hAnsiTheme="minorEastAsia" w:eastAsiaTheme="minorEastAsia" w:cstheme="minorEastAsia"/>
          <w:b/>
          <w:bCs/>
          <w:color w:val="auto"/>
          <w:sz w:val="24"/>
          <w:szCs w:val="24"/>
        </w:rPr>
        <w:t>条 督查考核</w:t>
      </w:r>
    </w:p>
    <w:p w14:paraId="26D126D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党组结合民主生活会，每半年听取一次党风廉政建设情况汇报，分析形势，找准问题，明确任务，部署工作，督促落实。</w:t>
      </w:r>
    </w:p>
    <w:p w14:paraId="1A28D82A">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党组及其成员要结合分管工作，按照“一岗双责”的要求，强化对党风廉政建设的督促检查，并对执行党风廉政建设责任制情况接受各级的检查、考核。</w:t>
      </w:r>
    </w:p>
    <w:p w14:paraId="2EE1C944">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各科室负责人每年年底向分管领导专题报告执行本规定的情况，并接受</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党组的检查、考核。</w:t>
      </w:r>
    </w:p>
    <w:p w14:paraId="47D0BB9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党风廉政建设责任制执行情况作为科级以上领导干部</w:t>
      </w:r>
      <w:r>
        <w:rPr>
          <w:rFonts w:hint="eastAsia" w:asciiTheme="minorEastAsia" w:hAnsiTheme="minorEastAsia" w:eastAsiaTheme="minorEastAsia" w:cstheme="minorEastAsia"/>
          <w:b w:val="0"/>
          <w:bCs w:val="0"/>
          <w:color w:val="auto"/>
          <w:sz w:val="24"/>
          <w:szCs w:val="24"/>
          <w:lang w:eastAsia="zh-CN"/>
        </w:rPr>
        <w:t>及事业单位领导</w:t>
      </w:r>
      <w:r>
        <w:rPr>
          <w:rFonts w:hint="eastAsia" w:asciiTheme="minorEastAsia" w:hAnsiTheme="minorEastAsia" w:eastAsiaTheme="minorEastAsia" w:cstheme="minorEastAsia"/>
          <w:b w:val="0"/>
          <w:bCs w:val="0"/>
          <w:color w:val="auto"/>
          <w:sz w:val="24"/>
          <w:szCs w:val="24"/>
        </w:rPr>
        <w:t>年度考核和述职报告的一项重要内容，并作为成绩评定、评先评优、选拨任用干部的重要依据。</w:t>
      </w:r>
    </w:p>
    <w:p w14:paraId="1BE9B35E">
      <w:pPr>
        <w:pStyle w:val="8"/>
        <w:pageBreakBefore w:val="0"/>
        <w:kinsoku/>
        <w:wordWrap/>
        <w:overflowPunct/>
        <w:topLinePunct w:val="0"/>
        <w:autoSpaceDE/>
        <w:autoSpaceDN/>
        <w:bidi w:val="0"/>
        <w:adjustRightInd/>
        <w:spacing w:line="580" w:lineRule="exact"/>
        <w:ind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第四条</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本制度自发布之日起实施。</w:t>
      </w:r>
    </w:p>
    <w:p w14:paraId="018FE9B2">
      <w:pPr>
        <w:pStyle w:val="8"/>
        <w:pageBreakBefore w:val="0"/>
        <w:kinsoku/>
        <w:wordWrap/>
        <w:overflowPunct/>
        <w:topLinePunct w:val="0"/>
        <w:autoSpaceDE/>
        <w:autoSpaceDN/>
        <w:bidi w:val="0"/>
        <w:adjustRightInd/>
        <w:spacing w:line="580" w:lineRule="exact"/>
        <w:ind w:left="0" w:firstLine="1084" w:firstLineChars="300"/>
        <w:jc w:val="both"/>
        <w:textAlignment w:val="auto"/>
        <w:rPr>
          <w:rFonts w:hint="eastAsia" w:asciiTheme="minorEastAsia" w:hAnsiTheme="minorEastAsia" w:eastAsiaTheme="minorEastAsia" w:cstheme="minorEastAsia"/>
          <w:b/>
          <w:bCs/>
          <w:color w:val="auto"/>
          <w:sz w:val="36"/>
          <w:szCs w:val="36"/>
        </w:rPr>
      </w:pPr>
    </w:p>
    <w:p w14:paraId="1E3E4033">
      <w:pPr>
        <w:pStyle w:val="8"/>
        <w:pageBreakBefore w:val="0"/>
        <w:kinsoku/>
        <w:wordWrap/>
        <w:overflowPunct/>
        <w:topLinePunct w:val="0"/>
        <w:autoSpaceDE/>
        <w:autoSpaceDN/>
        <w:bidi w:val="0"/>
        <w:adjustRightInd/>
        <w:spacing w:line="580" w:lineRule="exact"/>
        <w:ind w:left="0" w:firstLine="1084" w:firstLineChars="300"/>
        <w:jc w:val="both"/>
        <w:textAlignment w:val="auto"/>
        <w:rPr>
          <w:rFonts w:hint="eastAsia" w:asciiTheme="minorEastAsia" w:hAnsiTheme="minorEastAsia" w:eastAsiaTheme="minorEastAsia" w:cstheme="minorEastAsia"/>
          <w:b/>
          <w:bCs/>
          <w:color w:val="auto"/>
          <w:sz w:val="36"/>
          <w:szCs w:val="36"/>
        </w:rPr>
      </w:pPr>
    </w:p>
    <w:p w14:paraId="6F9E9B21">
      <w:pPr>
        <w:pStyle w:val="8"/>
        <w:pageBreakBefore w:val="0"/>
        <w:kinsoku/>
        <w:wordWrap/>
        <w:overflowPunct/>
        <w:topLinePunct w:val="0"/>
        <w:autoSpaceDE/>
        <w:autoSpaceDN/>
        <w:bidi w:val="0"/>
        <w:adjustRightInd/>
        <w:spacing w:line="580" w:lineRule="exact"/>
        <w:ind w:left="0" w:firstLine="1084" w:firstLineChars="300"/>
        <w:jc w:val="both"/>
        <w:textAlignment w:val="auto"/>
        <w:rPr>
          <w:rFonts w:hint="eastAsia" w:asciiTheme="minorEastAsia" w:hAnsiTheme="minorEastAsia" w:eastAsiaTheme="minorEastAsia" w:cstheme="minorEastAsia"/>
          <w:b/>
          <w:bCs/>
          <w:color w:val="auto"/>
          <w:sz w:val="36"/>
          <w:szCs w:val="36"/>
        </w:rPr>
      </w:pPr>
    </w:p>
    <w:p w14:paraId="3DFC26C1">
      <w:pP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44692108">
      <w:pPr>
        <w:pStyle w:val="3"/>
        <w:bidi w:val="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党员领导干部廉洁从政</w:t>
      </w:r>
      <w:r>
        <w:rPr>
          <w:rFonts w:hint="eastAsia" w:asciiTheme="minorEastAsia" w:hAnsiTheme="minorEastAsia" w:eastAsiaTheme="minorEastAsia" w:cstheme="minorEastAsia"/>
          <w:b/>
          <w:bCs/>
          <w:lang w:eastAsia="zh-CN"/>
        </w:rPr>
        <w:t>管理制度</w:t>
      </w:r>
    </w:p>
    <w:p w14:paraId="42D8BCEA">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为</w:t>
      </w:r>
      <w:r>
        <w:rPr>
          <w:rFonts w:hint="eastAsia" w:asciiTheme="minorEastAsia" w:hAnsiTheme="minorEastAsia" w:eastAsiaTheme="minorEastAsia" w:cstheme="minorEastAsia"/>
          <w:b w:val="0"/>
          <w:bCs w:val="0"/>
          <w:color w:val="auto"/>
          <w:sz w:val="24"/>
          <w:szCs w:val="24"/>
          <w:lang w:val="en-US" w:eastAsia="zh-CN"/>
        </w:rPr>
        <w:t>了</w:t>
      </w:r>
      <w:r>
        <w:rPr>
          <w:rFonts w:hint="eastAsia" w:asciiTheme="minorEastAsia" w:hAnsiTheme="minorEastAsia" w:eastAsiaTheme="minorEastAsia" w:cstheme="minorEastAsia"/>
          <w:b w:val="0"/>
          <w:bCs w:val="0"/>
          <w:color w:val="auto"/>
          <w:sz w:val="24"/>
          <w:szCs w:val="24"/>
        </w:rPr>
        <w:t>加强</w:t>
      </w:r>
      <w:r>
        <w:rPr>
          <w:rFonts w:hint="eastAsia" w:asciiTheme="minorEastAsia" w:hAnsiTheme="minorEastAsia" w:eastAsiaTheme="minorEastAsia" w:cstheme="minorEastAsia"/>
          <w:b w:val="0"/>
          <w:bCs w:val="0"/>
          <w:color w:val="auto"/>
          <w:sz w:val="24"/>
          <w:szCs w:val="24"/>
          <w:lang w:eastAsia="zh-CN"/>
        </w:rPr>
        <w:t>医疗保障</w:t>
      </w:r>
      <w:r>
        <w:rPr>
          <w:rFonts w:hint="eastAsia" w:asciiTheme="minorEastAsia" w:hAnsiTheme="minorEastAsia" w:eastAsiaTheme="minorEastAsia" w:cstheme="minorEastAsia"/>
          <w:b w:val="0"/>
          <w:bCs w:val="0"/>
          <w:color w:val="auto"/>
          <w:sz w:val="24"/>
          <w:szCs w:val="24"/>
          <w:lang w:val="en-US" w:eastAsia="zh-CN"/>
        </w:rPr>
        <w:t>系统</w:t>
      </w:r>
      <w:r>
        <w:rPr>
          <w:rFonts w:hint="eastAsia" w:asciiTheme="minorEastAsia" w:hAnsiTheme="minorEastAsia" w:eastAsiaTheme="minorEastAsia" w:cstheme="minorEastAsia"/>
          <w:b w:val="0"/>
          <w:bCs w:val="0"/>
          <w:color w:val="auto"/>
          <w:sz w:val="24"/>
          <w:szCs w:val="24"/>
        </w:rPr>
        <w:t>党风廉政建设，进一步规范党员领导干部从政行为，使每个党员领导干部真正做到廉洁自律，勤政为民，根据</w:t>
      </w:r>
      <w:r>
        <w:rPr>
          <w:rFonts w:hint="eastAsia" w:asciiTheme="minorEastAsia" w:hAnsiTheme="minorEastAsia" w:eastAsiaTheme="minorEastAsia" w:cstheme="minorEastAsia"/>
          <w:b w:val="0"/>
          <w:bCs w:val="0"/>
          <w:color w:val="auto"/>
          <w:sz w:val="24"/>
          <w:szCs w:val="24"/>
          <w:lang w:eastAsia="zh-CN"/>
        </w:rPr>
        <w:t>中央、省、市纪委监委</w:t>
      </w:r>
      <w:r>
        <w:rPr>
          <w:rFonts w:hint="eastAsia" w:asciiTheme="minorEastAsia" w:hAnsiTheme="minorEastAsia" w:eastAsiaTheme="minorEastAsia" w:cstheme="minorEastAsia"/>
          <w:b w:val="0"/>
          <w:bCs w:val="0"/>
          <w:color w:val="auto"/>
          <w:sz w:val="24"/>
          <w:szCs w:val="24"/>
        </w:rPr>
        <w:t>对领导干部廉洁自律的有关要求和规定，</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rPr>
        <w:t>制定本制度。</w:t>
      </w:r>
    </w:p>
    <w:p w14:paraId="5F7E79EE">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第一条 禁止利用职权和职务上的影响谋取不正当利益。不准有下列行为</w:t>
      </w:r>
      <w:r>
        <w:rPr>
          <w:rFonts w:hint="eastAsia" w:asciiTheme="minorEastAsia" w:hAnsiTheme="minorEastAsia" w:eastAsiaTheme="minorEastAsia" w:cstheme="minorEastAsia"/>
          <w:b w:val="0"/>
          <w:bCs w:val="0"/>
          <w:color w:val="auto"/>
          <w:sz w:val="24"/>
          <w:szCs w:val="24"/>
          <w:lang w:eastAsia="zh-CN"/>
        </w:rPr>
        <w:t>：</w:t>
      </w:r>
    </w:p>
    <w:p w14:paraId="04B7999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索取、接受或者以借为名占用管理和服务对象以及其他与行使职权有关系的单位或者个人的财物</w:t>
      </w:r>
      <w:r>
        <w:rPr>
          <w:rFonts w:hint="eastAsia" w:asciiTheme="minorEastAsia" w:hAnsiTheme="minorEastAsia" w:eastAsiaTheme="minorEastAsia" w:cstheme="minorEastAsia"/>
          <w:b w:val="0"/>
          <w:bCs w:val="0"/>
          <w:color w:val="auto"/>
          <w:sz w:val="24"/>
          <w:szCs w:val="24"/>
          <w:lang w:eastAsia="zh-CN"/>
        </w:rPr>
        <w:t>。</w:t>
      </w:r>
    </w:p>
    <w:p w14:paraId="32C9ECF4">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2.接受可能影响公正执行公务的礼品、宴请以及旅游、健身、娱乐等活动安排</w:t>
      </w:r>
      <w:r>
        <w:rPr>
          <w:rFonts w:hint="eastAsia" w:asciiTheme="minorEastAsia" w:hAnsiTheme="minorEastAsia" w:eastAsiaTheme="minorEastAsia" w:cstheme="minorEastAsia"/>
          <w:b w:val="0"/>
          <w:bCs w:val="0"/>
          <w:color w:val="auto"/>
          <w:sz w:val="24"/>
          <w:szCs w:val="24"/>
          <w:lang w:eastAsia="zh-CN"/>
        </w:rPr>
        <w:t>。</w:t>
      </w:r>
    </w:p>
    <w:p w14:paraId="723A3F80">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3.在公务活动中接受礼证金和各种有价证券、支付凭</w:t>
      </w:r>
      <w:r>
        <w:rPr>
          <w:rFonts w:hint="eastAsia" w:asciiTheme="minorEastAsia" w:hAnsiTheme="minorEastAsia" w:eastAsiaTheme="minorEastAsia" w:cstheme="minorEastAsia"/>
          <w:b w:val="0"/>
          <w:bCs w:val="0"/>
          <w:color w:val="auto"/>
          <w:sz w:val="24"/>
          <w:szCs w:val="24"/>
          <w:lang w:eastAsia="zh-CN"/>
        </w:rPr>
        <w:t>证。</w:t>
      </w:r>
    </w:p>
    <w:p w14:paraId="7477FE6B">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4.以交易、委托理财等形式谋取不正当利益</w:t>
      </w:r>
      <w:r>
        <w:rPr>
          <w:rFonts w:hint="eastAsia" w:asciiTheme="minorEastAsia" w:hAnsiTheme="minorEastAsia" w:eastAsiaTheme="minorEastAsia" w:cstheme="minorEastAsia"/>
          <w:b w:val="0"/>
          <w:bCs w:val="0"/>
          <w:color w:val="auto"/>
          <w:sz w:val="24"/>
          <w:szCs w:val="24"/>
          <w:lang w:eastAsia="zh-CN"/>
        </w:rPr>
        <w:t>。</w:t>
      </w:r>
    </w:p>
    <w:p w14:paraId="5302C805">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5.利用知悉或者掌握的内幕信息谋取利益。</w:t>
      </w:r>
    </w:p>
    <w:p w14:paraId="0EE38A48">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二</w:t>
      </w:r>
      <w:r>
        <w:rPr>
          <w:rFonts w:hint="eastAsia" w:asciiTheme="minorEastAsia" w:hAnsiTheme="minorEastAsia" w:eastAsiaTheme="minorEastAsia" w:cstheme="minorEastAsia"/>
          <w:b w:val="0"/>
          <w:bCs w:val="0"/>
          <w:color w:val="auto"/>
          <w:sz w:val="24"/>
          <w:szCs w:val="24"/>
        </w:rPr>
        <w:t>条 禁止私自从事营利性活动。不准有下列行</w:t>
      </w:r>
      <w:r>
        <w:rPr>
          <w:rFonts w:hint="eastAsia" w:asciiTheme="minorEastAsia" w:hAnsiTheme="minorEastAsia" w:eastAsiaTheme="minorEastAsia" w:cstheme="minorEastAsia"/>
          <w:b w:val="0"/>
          <w:bCs w:val="0"/>
          <w:color w:val="auto"/>
          <w:sz w:val="24"/>
          <w:szCs w:val="24"/>
          <w:lang w:eastAsia="zh-CN"/>
        </w:rPr>
        <w:t>为：</w:t>
      </w:r>
    </w:p>
    <w:p w14:paraId="4F81A913">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1.个人或者借他人名义经商、办企业</w:t>
      </w:r>
      <w:r>
        <w:rPr>
          <w:rFonts w:hint="eastAsia" w:asciiTheme="minorEastAsia" w:hAnsiTheme="minorEastAsia" w:eastAsiaTheme="minorEastAsia" w:cstheme="minorEastAsia"/>
          <w:b w:val="0"/>
          <w:bCs w:val="0"/>
          <w:color w:val="auto"/>
          <w:sz w:val="24"/>
          <w:szCs w:val="24"/>
          <w:lang w:eastAsia="zh-CN"/>
        </w:rPr>
        <w:t>。</w:t>
      </w:r>
    </w:p>
    <w:p w14:paraId="00E1D1E0">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2.违反规定拥有非上市公司(企业)的股份或者证券</w:t>
      </w:r>
      <w:r>
        <w:rPr>
          <w:rFonts w:hint="eastAsia" w:asciiTheme="minorEastAsia" w:hAnsiTheme="minorEastAsia" w:eastAsiaTheme="minorEastAsia" w:cstheme="minorEastAsia"/>
          <w:b w:val="0"/>
          <w:bCs w:val="0"/>
          <w:color w:val="auto"/>
          <w:sz w:val="24"/>
          <w:szCs w:val="24"/>
          <w:lang w:eastAsia="zh-CN"/>
        </w:rPr>
        <w:t>。</w:t>
      </w:r>
    </w:p>
    <w:p w14:paraId="32F7B7A7">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3.违反规定买卖股票或者进行其他证券投资</w:t>
      </w:r>
      <w:r>
        <w:rPr>
          <w:rFonts w:hint="eastAsia" w:asciiTheme="minorEastAsia" w:hAnsiTheme="minorEastAsia" w:eastAsiaTheme="minorEastAsia" w:cstheme="minorEastAsia"/>
          <w:b w:val="0"/>
          <w:bCs w:val="0"/>
          <w:color w:val="auto"/>
          <w:sz w:val="24"/>
          <w:szCs w:val="24"/>
          <w:lang w:eastAsia="zh-CN"/>
        </w:rPr>
        <w:t>。</w:t>
      </w:r>
    </w:p>
    <w:p w14:paraId="21DB709F">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4.违反规定在经济实体、社会团体等单位中兼职或者兼职取酬,以及从事有偿中介活动</w:t>
      </w:r>
      <w:r>
        <w:rPr>
          <w:rFonts w:hint="eastAsia" w:asciiTheme="minorEastAsia" w:hAnsiTheme="minorEastAsia" w:eastAsiaTheme="minorEastAsia" w:cstheme="minorEastAsia"/>
          <w:b w:val="0"/>
          <w:bCs w:val="0"/>
          <w:color w:val="auto"/>
          <w:sz w:val="24"/>
          <w:szCs w:val="24"/>
          <w:lang w:eastAsia="zh-CN"/>
        </w:rPr>
        <w:t>。</w:t>
      </w:r>
    </w:p>
    <w:p w14:paraId="3CC9C76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5.离职或者退休后三年内,接受原任职务管辖的地区和业务范围内的民营企业、外商投资企业和中介机构的聘任,或者个人从事与原任职务管辖业务相关的营利性活动。</w:t>
      </w:r>
    </w:p>
    <w:p w14:paraId="484DAA69">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三</w:t>
      </w:r>
      <w:r>
        <w:rPr>
          <w:rFonts w:hint="eastAsia" w:asciiTheme="minorEastAsia" w:hAnsiTheme="minorEastAsia" w:eastAsiaTheme="minorEastAsia" w:cstheme="minorEastAsia"/>
          <w:b w:val="0"/>
          <w:bCs w:val="0"/>
          <w:color w:val="auto"/>
          <w:sz w:val="24"/>
          <w:szCs w:val="24"/>
        </w:rPr>
        <w:t>条 禁止违反公共财物管理和使用的规定,假公济私、化公为私。不准有下列行为:</w:t>
      </w:r>
    </w:p>
    <w:p w14:paraId="3DB92583">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用公款报销或者支付应由个人负担的费用</w:t>
      </w:r>
      <w:r>
        <w:rPr>
          <w:rFonts w:hint="eastAsia" w:asciiTheme="minorEastAsia" w:hAnsiTheme="minorEastAsia" w:eastAsiaTheme="minorEastAsia" w:cstheme="minorEastAsia"/>
          <w:b w:val="0"/>
          <w:bCs w:val="0"/>
          <w:color w:val="auto"/>
          <w:sz w:val="24"/>
          <w:szCs w:val="24"/>
          <w:lang w:eastAsia="zh-CN"/>
        </w:rPr>
        <w:t>。</w:t>
      </w:r>
    </w:p>
    <w:p w14:paraId="36AB0EB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违反规定借用公款、公物或者将公款、公物借给他人</w:t>
      </w:r>
      <w:r>
        <w:rPr>
          <w:rFonts w:hint="eastAsia" w:asciiTheme="minorEastAsia" w:hAnsiTheme="minorEastAsia" w:eastAsiaTheme="minorEastAsia" w:cstheme="minorEastAsia"/>
          <w:b w:val="0"/>
          <w:bCs w:val="0"/>
          <w:color w:val="auto"/>
          <w:sz w:val="24"/>
          <w:szCs w:val="24"/>
          <w:lang w:eastAsia="zh-CN"/>
        </w:rPr>
        <w:t>。</w:t>
      </w:r>
    </w:p>
    <w:p w14:paraId="57684708">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私存私放公款</w:t>
      </w:r>
      <w:r>
        <w:rPr>
          <w:rFonts w:hint="eastAsia" w:asciiTheme="minorEastAsia" w:hAnsiTheme="minorEastAsia" w:eastAsiaTheme="minorEastAsia" w:cstheme="minorEastAsia"/>
          <w:b w:val="0"/>
          <w:bCs w:val="0"/>
          <w:color w:val="auto"/>
          <w:sz w:val="24"/>
          <w:szCs w:val="24"/>
          <w:lang w:eastAsia="zh-CN"/>
        </w:rPr>
        <w:t>。</w:t>
      </w:r>
    </w:p>
    <w:p w14:paraId="4022ADA7">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用公款旅游或者变相用公款旅游</w:t>
      </w:r>
      <w:r>
        <w:rPr>
          <w:rFonts w:hint="eastAsia" w:asciiTheme="minorEastAsia" w:hAnsiTheme="minorEastAsia" w:eastAsiaTheme="minorEastAsia" w:cstheme="minorEastAsia"/>
          <w:b w:val="0"/>
          <w:bCs w:val="0"/>
          <w:color w:val="auto"/>
          <w:sz w:val="24"/>
          <w:szCs w:val="24"/>
          <w:lang w:eastAsia="zh-CN"/>
        </w:rPr>
        <w:t>。</w:t>
      </w:r>
    </w:p>
    <w:p w14:paraId="1CF1694D">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5.用公款参与高消费娱乐、健身活动和获取各种形式的俱乐部会员资格</w:t>
      </w:r>
      <w:r>
        <w:rPr>
          <w:rFonts w:hint="eastAsia" w:asciiTheme="minorEastAsia" w:hAnsiTheme="minorEastAsia" w:eastAsiaTheme="minorEastAsia" w:cstheme="minorEastAsia"/>
          <w:b w:val="0"/>
          <w:bCs w:val="0"/>
          <w:color w:val="auto"/>
          <w:sz w:val="24"/>
          <w:szCs w:val="24"/>
          <w:lang w:eastAsia="zh-CN"/>
        </w:rPr>
        <w:t>。</w:t>
      </w:r>
    </w:p>
    <w:p w14:paraId="294333FB">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6.违反规定用公款购买商业保险,缴纳住房公积金,滥发津贴、补贴、奖金等</w:t>
      </w:r>
      <w:r>
        <w:rPr>
          <w:rFonts w:hint="eastAsia" w:asciiTheme="minorEastAsia" w:hAnsiTheme="minorEastAsia" w:eastAsiaTheme="minorEastAsia" w:cstheme="minorEastAsia"/>
          <w:b w:val="0"/>
          <w:bCs w:val="0"/>
          <w:color w:val="auto"/>
          <w:sz w:val="24"/>
          <w:szCs w:val="24"/>
          <w:lang w:eastAsia="zh-CN"/>
        </w:rPr>
        <w:t>。</w:t>
      </w:r>
    </w:p>
    <w:p w14:paraId="51C03677">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7.非法占有公共财物,或者以象征性地支付钱款等方式非法占有公共财物</w:t>
      </w:r>
      <w:r>
        <w:rPr>
          <w:rFonts w:hint="eastAsia" w:asciiTheme="minorEastAsia" w:hAnsiTheme="minorEastAsia" w:eastAsiaTheme="minorEastAsia" w:cstheme="minorEastAsia"/>
          <w:b w:val="0"/>
          <w:bCs w:val="0"/>
          <w:color w:val="auto"/>
          <w:sz w:val="24"/>
          <w:szCs w:val="24"/>
          <w:lang w:eastAsia="zh-CN"/>
        </w:rPr>
        <w:t>。</w:t>
      </w:r>
    </w:p>
    <w:p w14:paraId="7E57F28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8.挪用或者拆借社会保障基金、住房公积金等公共资金或者其他财政资金。</w:t>
      </w:r>
    </w:p>
    <w:p w14:paraId="53F89899">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四</w:t>
      </w:r>
      <w:r>
        <w:rPr>
          <w:rFonts w:hint="eastAsia" w:asciiTheme="minorEastAsia" w:hAnsiTheme="minorEastAsia" w:eastAsiaTheme="minorEastAsia" w:cstheme="minorEastAsia"/>
          <w:b w:val="0"/>
          <w:bCs w:val="0"/>
          <w:color w:val="auto"/>
          <w:sz w:val="24"/>
          <w:szCs w:val="24"/>
        </w:rPr>
        <w:t>条 禁止违反规定选拔任用干部。不准有下列行为:</w:t>
      </w:r>
    </w:p>
    <w:p w14:paraId="5278585D">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1.采取不正当手段为本人或者他人谋取职位</w:t>
      </w:r>
      <w:r>
        <w:rPr>
          <w:rFonts w:hint="eastAsia" w:asciiTheme="minorEastAsia" w:hAnsiTheme="minorEastAsia" w:eastAsiaTheme="minorEastAsia" w:cstheme="minorEastAsia"/>
          <w:b w:val="0"/>
          <w:bCs w:val="0"/>
          <w:color w:val="auto"/>
          <w:sz w:val="24"/>
          <w:szCs w:val="24"/>
          <w:lang w:eastAsia="zh-CN"/>
        </w:rPr>
        <w:t>。</w:t>
      </w:r>
    </w:p>
    <w:p w14:paraId="76F6BB72">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2.不按照规定程序推荐、考察、酝酿、讨论决定任免干部</w:t>
      </w:r>
      <w:r>
        <w:rPr>
          <w:rFonts w:hint="eastAsia" w:asciiTheme="minorEastAsia" w:hAnsiTheme="minorEastAsia" w:eastAsiaTheme="minorEastAsia" w:cstheme="minorEastAsia"/>
          <w:b w:val="0"/>
          <w:bCs w:val="0"/>
          <w:color w:val="auto"/>
          <w:sz w:val="24"/>
          <w:szCs w:val="24"/>
          <w:lang w:eastAsia="zh-CN"/>
        </w:rPr>
        <w:t>。</w:t>
      </w:r>
    </w:p>
    <w:p w14:paraId="41DC8AC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3.私自泄露民主推荐、民主测评、考察、酝酿、讨论决定干部等有关情况</w:t>
      </w:r>
      <w:r>
        <w:rPr>
          <w:rFonts w:hint="eastAsia" w:asciiTheme="minorEastAsia" w:hAnsiTheme="minorEastAsia" w:eastAsiaTheme="minorEastAsia" w:cstheme="minorEastAsia"/>
          <w:b w:val="0"/>
          <w:bCs w:val="0"/>
          <w:color w:val="auto"/>
          <w:sz w:val="24"/>
          <w:szCs w:val="24"/>
          <w:lang w:eastAsia="zh-CN"/>
        </w:rPr>
        <w:t>。</w:t>
      </w:r>
    </w:p>
    <w:p w14:paraId="0C7169EB">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4.在</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部考察工作中隐瞒或者歪曲事实真相</w:t>
      </w:r>
      <w:r>
        <w:rPr>
          <w:rFonts w:hint="eastAsia" w:asciiTheme="minorEastAsia" w:hAnsiTheme="minorEastAsia" w:eastAsiaTheme="minorEastAsia" w:cstheme="minorEastAsia"/>
          <w:b w:val="0"/>
          <w:bCs w:val="0"/>
          <w:color w:val="auto"/>
          <w:sz w:val="24"/>
          <w:szCs w:val="24"/>
          <w:lang w:eastAsia="zh-CN"/>
        </w:rPr>
        <w:t>。</w:t>
      </w:r>
    </w:p>
    <w:p w14:paraId="7F081D0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5.在民主推荐、民主测评、组织考察和选举中搞拉票等非组织活动</w:t>
      </w:r>
      <w:r>
        <w:rPr>
          <w:rFonts w:hint="eastAsia" w:asciiTheme="minorEastAsia" w:hAnsiTheme="minorEastAsia" w:eastAsiaTheme="minorEastAsia" w:cstheme="minorEastAsia"/>
          <w:b w:val="0"/>
          <w:bCs w:val="0"/>
          <w:color w:val="auto"/>
          <w:sz w:val="24"/>
          <w:szCs w:val="24"/>
          <w:lang w:eastAsia="zh-CN"/>
        </w:rPr>
        <w:t>。</w:t>
      </w:r>
    </w:p>
    <w:p w14:paraId="4ABEDE31">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6.在工作调动、机构变动时,突击提拔、调整干部</w:t>
      </w:r>
      <w:r>
        <w:rPr>
          <w:rFonts w:hint="eastAsia" w:asciiTheme="minorEastAsia" w:hAnsiTheme="minorEastAsia" w:eastAsiaTheme="minorEastAsia" w:cstheme="minorEastAsia"/>
          <w:b w:val="0"/>
          <w:bCs w:val="0"/>
          <w:color w:val="auto"/>
          <w:sz w:val="24"/>
          <w:szCs w:val="24"/>
          <w:lang w:eastAsia="zh-CN"/>
        </w:rPr>
        <w:t>。</w:t>
      </w:r>
    </w:p>
    <w:p w14:paraId="35BAF5D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7.在干部选拔任用工作中封官许愿,任人唯亲,营私舞弊。</w:t>
      </w:r>
    </w:p>
    <w:p w14:paraId="515EBDFB">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五</w:t>
      </w:r>
      <w:r>
        <w:rPr>
          <w:rFonts w:hint="eastAsia" w:asciiTheme="minorEastAsia" w:hAnsiTheme="minorEastAsia" w:eastAsiaTheme="minorEastAsia" w:cstheme="minorEastAsia"/>
          <w:b w:val="0"/>
          <w:bCs w:val="0"/>
          <w:color w:val="auto"/>
          <w:sz w:val="24"/>
          <w:szCs w:val="24"/>
        </w:rPr>
        <w:t>条 禁止利用职权和职务上的影响为亲属及身边工作人员谋取利益。不准有下列行为</w:t>
      </w:r>
      <w:r>
        <w:rPr>
          <w:rFonts w:hint="eastAsia" w:asciiTheme="minorEastAsia" w:hAnsiTheme="minorEastAsia" w:eastAsiaTheme="minorEastAsia" w:cstheme="minorEastAsia"/>
          <w:b w:val="0"/>
          <w:bCs w:val="0"/>
          <w:color w:val="auto"/>
          <w:sz w:val="24"/>
          <w:szCs w:val="24"/>
          <w:lang w:eastAsia="zh-CN"/>
        </w:rPr>
        <w:t>：</w:t>
      </w:r>
    </w:p>
    <w:p w14:paraId="3D934122">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1.要求或者指使提拔配偶、子女及其配偶、其他亲属以及身边工作人员</w:t>
      </w:r>
      <w:r>
        <w:rPr>
          <w:rFonts w:hint="eastAsia" w:asciiTheme="minorEastAsia" w:hAnsiTheme="minorEastAsia" w:eastAsiaTheme="minorEastAsia" w:cstheme="minorEastAsia"/>
          <w:b w:val="0"/>
          <w:bCs w:val="0"/>
          <w:color w:val="auto"/>
          <w:sz w:val="24"/>
          <w:szCs w:val="24"/>
          <w:lang w:eastAsia="zh-CN"/>
        </w:rPr>
        <w:t>。</w:t>
      </w:r>
    </w:p>
    <w:p w14:paraId="02C56D24">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2.用公款支付配偶、子女及其配偶以及其他亲属学习、培训、旅游等费用,</w:t>
      </w:r>
      <w:r>
        <w:rPr>
          <w:rFonts w:hint="eastAsia" w:asciiTheme="minorEastAsia" w:hAnsiTheme="minorEastAsia" w:eastAsiaTheme="minorEastAsia" w:cstheme="minorEastAsia"/>
          <w:b w:val="0"/>
          <w:bCs w:val="0"/>
          <w:color w:val="auto"/>
          <w:sz w:val="24"/>
          <w:szCs w:val="24"/>
          <w:lang w:eastAsia="zh-CN"/>
        </w:rPr>
        <w:t>及</w:t>
      </w:r>
      <w:r>
        <w:rPr>
          <w:rFonts w:hint="eastAsia" w:asciiTheme="minorEastAsia" w:hAnsiTheme="minorEastAsia" w:eastAsiaTheme="minorEastAsia" w:cstheme="minorEastAsia"/>
          <w:b w:val="0"/>
          <w:bCs w:val="0"/>
          <w:color w:val="auto"/>
          <w:sz w:val="24"/>
          <w:szCs w:val="24"/>
        </w:rPr>
        <w:t>出国(境)定居、留学、探亲等向个人或者机构索取资助</w:t>
      </w:r>
      <w:r>
        <w:rPr>
          <w:rFonts w:hint="eastAsia" w:asciiTheme="minorEastAsia" w:hAnsiTheme="minorEastAsia" w:eastAsiaTheme="minorEastAsia" w:cstheme="minorEastAsia"/>
          <w:b w:val="0"/>
          <w:bCs w:val="0"/>
          <w:color w:val="auto"/>
          <w:sz w:val="24"/>
          <w:szCs w:val="24"/>
          <w:lang w:eastAsia="zh-CN"/>
        </w:rPr>
        <w:t>。</w:t>
      </w:r>
    </w:p>
    <w:p w14:paraId="22011CB8">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3.妨碍涉及配偶、子女及其配偶、其他亲属以及身边工作人员案件的调查处理</w:t>
      </w:r>
      <w:r>
        <w:rPr>
          <w:rFonts w:hint="eastAsia" w:asciiTheme="minorEastAsia" w:hAnsiTheme="minorEastAsia" w:eastAsiaTheme="minorEastAsia" w:cstheme="minorEastAsia"/>
          <w:b w:val="0"/>
          <w:bCs w:val="0"/>
          <w:color w:val="auto"/>
          <w:sz w:val="24"/>
          <w:szCs w:val="24"/>
          <w:lang w:eastAsia="zh-CN"/>
        </w:rPr>
        <w:t>。</w:t>
      </w:r>
    </w:p>
    <w:p w14:paraId="1AEAB25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4.利用职务之便,为他人谋取利益,其父母、配偶、子女及其配偶以及其他特定关系人收受对方财物</w:t>
      </w:r>
      <w:r>
        <w:rPr>
          <w:rFonts w:hint="eastAsia" w:asciiTheme="minorEastAsia" w:hAnsiTheme="minorEastAsia" w:eastAsiaTheme="minorEastAsia" w:cstheme="minorEastAsia"/>
          <w:b w:val="0"/>
          <w:bCs w:val="0"/>
          <w:color w:val="auto"/>
          <w:sz w:val="24"/>
          <w:szCs w:val="24"/>
          <w:lang w:eastAsia="zh-CN"/>
        </w:rPr>
        <w:t>。</w:t>
      </w:r>
    </w:p>
    <w:p w14:paraId="11368ED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5.默许、纵容、授意配偶、子女及其配偶、其他亲属以及身边工作人员以本人名义谋取私利</w:t>
      </w:r>
      <w:r>
        <w:rPr>
          <w:rFonts w:hint="eastAsia" w:asciiTheme="minorEastAsia" w:hAnsiTheme="minorEastAsia" w:eastAsiaTheme="minorEastAsia" w:cstheme="minorEastAsia"/>
          <w:b w:val="0"/>
          <w:bCs w:val="0"/>
          <w:color w:val="auto"/>
          <w:sz w:val="24"/>
          <w:szCs w:val="24"/>
          <w:lang w:eastAsia="zh-CN"/>
        </w:rPr>
        <w:t>。</w:t>
      </w:r>
    </w:p>
    <w:p w14:paraId="262983F7">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6.为配偶、子女及其配偶以及其他亲属经商、办企业提供便利条件</w:t>
      </w:r>
      <w:r>
        <w:rPr>
          <w:rFonts w:hint="eastAsia" w:asciiTheme="minorEastAsia" w:hAnsiTheme="minorEastAsia" w:eastAsiaTheme="minorEastAsia" w:cstheme="minorEastAsia"/>
          <w:b w:val="0"/>
          <w:bCs w:val="0"/>
          <w:color w:val="auto"/>
          <w:sz w:val="24"/>
          <w:szCs w:val="24"/>
          <w:lang w:eastAsia="zh-CN"/>
        </w:rPr>
        <w:t>。</w:t>
      </w:r>
    </w:p>
    <w:p w14:paraId="02C2EBA4">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允许、纵容配偶、子女及其配偶,在本人管辖的地区或业务范围内</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从事可能与公共利益发生冲突的经商、办企业、社会中介服务等活动</w:t>
      </w:r>
      <w:r>
        <w:rPr>
          <w:rFonts w:hint="eastAsia" w:asciiTheme="minorEastAsia" w:hAnsiTheme="minorEastAsia" w:eastAsiaTheme="minorEastAsia" w:cstheme="minorEastAsia"/>
          <w:b w:val="0"/>
          <w:bCs w:val="0"/>
          <w:color w:val="auto"/>
          <w:sz w:val="24"/>
          <w:szCs w:val="24"/>
          <w:lang w:eastAsia="zh-CN"/>
        </w:rPr>
        <w:t>。</w:t>
      </w:r>
    </w:p>
    <w:p w14:paraId="0626F9ED">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8.允许、纵容配偶、子女及其配偶在异地工商注册登记后,到本人管辖的地区或业务范围内从事可能与公共利益发生冲突的经商、办企业活动。</w:t>
      </w:r>
    </w:p>
    <w:p w14:paraId="3117F87C">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六</w:t>
      </w:r>
      <w:r>
        <w:rPr>
          <w:rFonts w:hint="eastAsia" w:asciiTheme="minorEastAsia" w:hAnsiTheme="minorEastAsia" w:eastAsiaTheme="minorEastAsia" w:cstheme="minorEastAsia"/>
          <w:b w:val="0"/>
          <w:bCs w:val="0"/>
          <w:color w:val="auto"/>
          <w:sz w:val="24"/>
          <w:szCs w:val="24"/>
        </w:rPr>
        <w:t xml:space="preserve">条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禁止讲排场、比阔气、挥霍公款、铺张浪费。不准有下列行为:</w:t>
      </w:r>
    </w:p>
    <w:p w14:paraId="0F78FD9D">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1.在公务活动中提供或者接受超过规定标准的接待,或者超过规定标准报销招待费、差旅费等相关费用</w:t>
      </w:r>
      <w:r>
        <w:rPr>
          <w:rFonts w:hint="eastAsia" w:asciiTheme="minorEastAsia" w:hAnsiTheme="minorEastAsia" w:eastAsiaTheme="minorEastAsia" w:cstheme="minorEastAsia"/>
          <w:b w:val="0"/>
          <w:bCs w:val="0"/>
          <w:color w:val="auto"/>
          <w:sz w:val="24"/>
          <w:szCs w:val="24"/>
          <w:lang w:eastAsia="zh-CN"/>
        </w:rPr>
        <w:t>。</w:t>
      </w:r>
    </w:p>
    <w:p w14:paraId="4237EC43">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2.擅自用公款包租、占用客房供个人使用</w:t>
      </w:r>
      <w:r>
        <w:rPr>
          <w:rFonts w:hint="eastAsia" w:asciiTheme="minorEastAsia" w:hAnsiTheme="minorEastAsia" w:eastAsiaTheme="minorEastAsia" w:cstheme="minorEastAsia"/>
          <w:b w:val="0"/>
          <w:bCs w:val="0"/>
          <w:color w:val="auto"/>
          <w:sz w:val="24"/>
          <w:szCs w:val="24"/>
          <w:lang w:eastAsia="zh-CN"/>
        </w:rPr>
        <w:t>。</w:t>
      </w:r>
    </w:p>
    <w:p w14:paraId="4CD22C53">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3.违反规定配备、购买、更换、装饰或者使用小汽车</w:t>
      </w:r>
      <w:r>
        <w:rPr>
          <w:rFonts w:hint="eastAsia" w:asciiTheme="minorEastAsia" w:hAnsiTheme="minorEastAsia" w:eastAsiaTheme="minorEastAsia" w:cstheme="minorEastAsia"/>
          <w:b w:val="0"/>
          <w:bCs w:val="0"/>
          <w:color w:val="auto"/>
          <w:sz w:val="24"/>
          <w:szCs w:val="24"/>
          <w:lang w:eastAsia="zh-CN"/>
        </w:rPr>
        <w:t>。</w:t>
      </w:r>
    </w:p>
    <w:p w14:paraId="5E41D75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.违反规定批准用公款或者通过摊派方式举办各类庆典活动。</w:t>
      </w:r>
    </w:p>
    <w:p w14:paraId="57896474">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七</w:t>
      </w:r>
      <w:r>
        <w:rPr>
          <w:rFonts w:hint="eastAsia" w:asciiTheme="minorEastAsia" w:hAnsiTheme="minorEastAsia" w:eastAsiaTheme="minorEastAsia" w:cstheme="minorEastAsia"/>
          <w:b w:val="0"/>
          <w:bCs w:val="0"/>
          <w:color w:val="auto"/>
          <w:sz w:val="24"/>
          <w:szCs w:val="24"/>
        </w:rPr>
        <w:t>条 禁止违反规定干预和插手市场经济活动,谋取私利。不准有下列行为:</w:t>
      </w:r>
    </w:p>
    <w:p w14:paraId="2E916757">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1.干预和插手批办各类行政许可和资金借贷等事项</w:t>
      </w:r>
      <w:r>
        <w:rPr>
          <w:rFonts w:hint="eastAsia" w:asciiTheme="minorEastAsia" w:hAnsiTheme="minorEastAsia" w:eastAsiaTheme="minorEastAsia" w:cstheme="minorEastAsia"/>
          <w:b w:val="0"/>
          <w:bCs w:val="0"/>
          <w:color w:val="auto"/>
          <w:sz w:val="24"/>
          <w:szCs w:val="24"/>
          <w:lang w:eastAsia="zh-CN"/>
        </w:rPr>
        <w:t>。</w:t>
      </w:r>
    </w:p>
    <w:p w14:paraId="0598249B">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.干预和插手经济纠纷</w:t>
      </w:r>
      <w:r>
        <w:rPr>
          <w:rFonts w:hint="eastAsia" w:asciiTheme="minorEastAsia" w:hAnsiTheme="minorEastAsia" w:eastAsiaTheme="minorEastAsia" w:cstheme="minorEastAsia"/>
          <w:b w:val="0"/>
          <w:bCs w:val="0"/>
          <w:color w:val="auto"/>
          <w:sz w:val="24"/>
          <w:szCs w:val="24"/>
          <w:lang w:eastAsia="zh-CN"/>
        </w:rPr>
        <w:t>。</w:t>
      </w:r>
    </w:p>
    <w:p w14:paraId="234BB7EA">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预和插手资金、资产和资源的使用、分配、承包、租赁等事项。</w:t>
      </w:r>
    </w:p>
    <w:p w14:paraId="620B35B5">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八</w:t>
      </w:r>
      <w:r>
        <w:rPr>
          <w:rFonts w:hint="eastAsia" w:asciiTheme="minorEastAsia" w:hAnsiTheme="minorEastAsia" w:eastAsiaTheme="minorEastAsia" w:cstheme="minorEastAsia"/>
          <w:b w:val="0"/>
          <w:bCs w:val="0"/>
          <w:color w:val="auto"/>
          <w:sz w:val="24"/>
          <w:szCs w:val="24"/>
        </w:rPr>
        <w:t>条 禁止脱离实际,弄虚作假,损害群众利益和党群干群关系。不准有下列行为:</w:t>
      </w:r>
    </w:p>
    <w:p w14:paraId="4B71D746">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1.搞劳民伤财的“形象工程”和沽名钓誉的“政绩工程”</w:t>
      </w:r>
      <w:r>
        <w:rPr>
          <w:rFonts w:hint="eastAsia" w:asciiTheme="minorEastAsia" w:hAnsiTheme="minorEastAsia" w:eastAsiaTheme="minorEastAsia" w:cstheme="minorEastAsia"/>
          <w:b w:val="0"/>
          <w:bCs w:val="0"/>
          <w:color w:val="auto"/>
          <w:sz w:val="24"/>
          <w:szCs w:val="24"/>
          <w:lang w:eastAsia="zh-CN"/>
        </w:rPr>
        <w:t>。</w:t>
      </w:r>
    </w:p>
    <w:p w14:paraId="5CB5BCC5">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2.虚报工作业绩</w:t>
      </w:r>
      <w:r>
        <w:rPr>
          <w:rFonts w:hint="eastAsia" w:asciiTheme="minorEastAsia" w:hAnsiTheme="minorEastAsia" w:eastAsiaTheme="minorEastAsia" w:cstheme="minorEastAsia"/>
          <w:b w:val="0"/>
          <w:bCs w:val="0"/>
          <w:color w:val="auto"/>
          <w:sz w:val="24"/>
          <w:szCs w:val="24"/>
          <w:lang w:eastAsia="zh-CN"/>
        </w:rPr>
        <w:t>。</w:t>
      </w:r>
    </w:p>
    <w:p w14:paraId="6FF6BE51">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3.大办婚丧喜庆事宜,造成不良影响,或者借机敛财</w:t>
      </w:r>
      <w:r>
        <w:rPr>
          <w:rFonts w:hint="eastAsia" w:asciiTheme="minorEastAsia" w:hAnsiTheme="minorEastAsia" w:eastAsiaTheme="minorEastAsia" w:cstheme="minorEastAsia"/>
          <w:b w:val="0"/>
          <w:bCs w:val="0"/>
          <w:color w:val="auto"/>
          <w:sz w:val="24"/>
          <w:szCs w:val="24"/>
          <w:lang w:eastAsia="zh-CN"/>
        </w:rPr>
        <w:t>。</w:t>
      </w:r>
    </w:p>
    <w:p w14:paraId="0E8C2524">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在社会保障、政策扶持、救灾救济款物分配等事项中优亲厚友、显失公平</w:t>
      </w:r>
      <w:r>
        <w:rPr>
          <w:rFonts w:hint="eastAsia" w:asciiTheme="minorEastAsia" w:hAnsiTheme="minorEastAsia" w:eastAsiaTheme="minorEastAsia" w:cstheme="minorEastAsia"/>
          <w:b w:val="0"/>
          <w:bCs w:val="0"/>
          <w:color w:val="auto"/>
          <w:sz w:val="24"/>
          <w:szCs w:val="24"/>
          <w:lang w:eastAsia="zh-CN"/>
        </w:rPr>
        <w:t>。</w:t>
      </w:r>
    </w:p>
    <w:p w14:paraId="4D4CACA8">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以不正当手段获取荣誉、职称、学历学位等利益</w:t>
      </w:r>
      <w:r>
        <w:rPr>
          <w:rFonts w:hint="eastAsia" w:asciiTheme="minorEastAsia" w:hAnsiTheme="minorEastAsia" w:eastAsiaTheme="minorEastAsia" w:cstheme="minorEastAsia"/>
          <w:b w:val="0"/>
          <w:bCs w:val="0"/>
          <w:color w:val="auto"/>
          <w:sz w:val="24"/>
          <w:szCs w:val="24"/>
          <w:lang w:eastAsia="zh-CN"/>
        </w:rPr>
        <w:t>。</w:t>
      </w:r>
    </w:p>
    <w:p w14:paraId="7E4EE01B">
      <w:pPr>
        <w:keepNext w:val="0"/>
        <w:keepLines w:val="0"/>
        <w:pageBreakBefore w:val="0"/>
        <w:widowControl w:val="0"/>
        <w:kinsoku/>
        <w:wordWrap/>
        <w:overflowPunct/>
        <w:topLinePunct w:val="0"/>
        <w:autoSpaceDE/>
        <w:autoSpaceDN/>
        <w:bidi w:val="0"/>
        <w:adjustRightInd/>
        <w:snapToGrid/>
        <w:spacing w:line="54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从事有悖社会公德、职业道德、家庭美德的活动。</w:t>
      </w:r>
    </w:p>
    <w:p w14:paraId="5EC3F558">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九</w:t>
      </w:r>
      <w:r>
        <w:rPr>
          <w:rFonts w:hint="eastAsia" w:asciiTheme="minorEastAsia" w:hAnsiTheme="minorEastAsia" w:eastAsiaTheme="minorEastAsia" w:cstheme="minorEastAsia"/>
          <w:b w:val="0"/>
          <w:bCs w:val="0"/>
          <w:color w:val="auto"/>
          <w:sz w:val="24"/>
          <w:szCs w:val="24"/>
        </w:rPr>
        <w:t xml:space="preserve">条 </w:t>
      </w:r>
      <w:r>
        <w:rPr>
          <w:rFonts w:hint="eastAsia" w:asciiTheme="minorEastAsia" w:hAnsiTheme="minorEastAsia" w:eastAsiaTheme="minorEastAsia" w:cstheme="minorEastAsia"/>
          <w:b w:val="0"/>
          <w:bCs w:val="0"/>
          <w:color w:val="auto"/>
          <w:kern w:val="2"/>
          <w:sz w:val="24"/>
          <w:szCs w:val="24"/>
          <w:lang w:val="en-US" w:eastAsia="zh-CN" w:bidi="ar-SA"/>
        </w:rPr>
        <w:t>机关党总支负责本准则的贯彻实施、落实,并负责对实施情况进行监督检查。</w:t>
      </w:r>
    </w:p>
    <w:p w14:paraId="6DC0D314">
      <w:pPr>
        <w:pStyle w:val="8"/>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十</w:t>
      </w:r>
      <w:r>
        <w:rPr>
          <w:rFonts w:hint="eastAsia" w:asciiTheme="minorEastAsia" w:hAnsiTheme="minorEastAsia" w:eastAsiaTheme="minorEastAsia" w:cstheme="minorEastAsia"/>
          <w:b w:val="0"/>
          <w:bCs w:val="0"/>
          <w:color w:val="auto"/>
          <w:sz w:val="24"/>
          <w:szCs w:val="24"/>
        </w:rPr>
        <w:t xml:space="preserve">条 </w:t>
      </w:r>
      <w:r>
        <w:rPr>
          <w:rFonts w:hint="eastAsia" w:asciiTheme="minorEastAsia" w:hAnsiTheme="minorEastAsia" w:eastAsiaTheme="minorEastAsia" w:cstheme="minorEastAsia"/>
          <w:b w:val="0"/>
          <w:bCs w:val="0"/>
          <w:color w:val="auto"/>
          <w:kern w:val="2"/>
          <w:sz w:val="24"/>
          <w:szCs w:val="24"/>
          <w:lang w:val="en-US" w:eastAsia="zh-CN" w:bidi="ar-SA"/>
        </w:rPr>
        <w:t>机关党总支要加强对系统内党员领导干部廉洁从政方面的教育,将本准则列为党员领导干部教育培训的重要内容,并认真落实党内监督的各项制度,通过贯彻实施民主生活会、重要情况通报和报告、巡视、谈话和诫勉、述职述廉、报告个人有关事项以及考察考核等监督制度,加强对党员领导干部执行本准则情况的监督检查。</w:t>
      </w:r>
    </w:p>
    <w:p w14:paraId="2D4435ED">
      <w:pPr>
        <w:pStyle w:val="8"/>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十</w:t>
      </w:r>
      <w:r>
        <w:rPr>
          <w:rFonts w:hint="eastAsia" w:asciiTheme="minorEastAsia" w:hAnsiTheme="minorEastAsia" w:eastAsiaTheme="minorEastAsia" w:cstheme="minorEastAsia"/>
          <w:b w:val="0"/>
          <w:bCs w:val="0"/>
          <w:color w:val="auto"/>
          <w:sz w:val="24"/>
          <w:szCs w:val="24"/>
        </w:rPr>
        <w:t xml:space="preserve">一条 </w:t>
      </w:r>
      <w:r>
        <w:rPr>
          <w:rFonts w:hint="eastAsia" w:asciiTheme="minorEastAsia" w:hAnsiTheme="minorEastAsia" w:eastAsiaTheme="minorEastAsia" w:cstheme="minorEastAsia"/>
          <w:b w:val="0"/>
          <w:bCs w:val="0"/>
          <w:color w:val="auto"/>
          <w:kern w:val="2"/>
          <w:sz w:val="24"/>
          <w:szCs w:val="24"/>
          <w:lang w:val="en-US" w:eastAsia="zh-CN" w:bidi="ar-SA"/>
        </w:rPr>
        <w:t>医疗保障系统的党员领导干部应当向党组织如实报告个人有关事项,自觉接受监督。</w:t>
      </w:r>
    </w:p>
    <w:p w14:paraId="2DEF8566">
      <w:pPr>
        <w:pStyle w:val="8"/>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十二</w:t>
      </w:r>
      <w:r>
        <w:rPr>
          <w:rFonts w:hint="eastAsia" w:asciiTheme="minorEastAsia" w:hAnsiTheme="minorEastAsia" w:eastAsiaTheme="minorEastAsia" w:cstheme="minorEastAsia"/>
          <w:b w:val="0"/>
          <w:bCs w:val="0"/>
          <w:color w:val="auto"/>
          <w:sz w:val="24"/>
          <w:szCs w:val="24"/>
        </w:rPr>
        <w:t xml:space="preserve">条 </w:t>
      </w:r>
      <w:r>
        <w:rPr>
          <w:rFonts w:hint="eastAsia" w:asciiTheme="minorEastAsia" w:hAnsiTheme="minorEastAsia" w:eastAsiaTheme="minorEastAsia" w:cstheme="minorEastAsia"/>
          <w:b w:val="0"/>
          <w:bCs w:val="0"/>
          <w:color w:val="auto"/>
          <w:kern w:val="2"/>
          <w:sz w:val="24"/>
          <w:szCs w:val="24"/>
          <w:lang w:val="en-US" w:eastAsia="zh-CN" w:bidi="ar-SA"/>
        </w:rPr>
        <w:t>党员领导干部违反本准则的,依照有关规定给予批评教育、组织处理或者纪律处分,涉嫌违法犯罪的,依法追究其法律责任。</w:t>
      </w:r>
    </w:p>
    <w:p w14:paraId="3AAE757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第二十一条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p>
    <w:p w14:paraId="5D8476A9">
      <w:pPr>
        <w:bidi w:val="0"/>
        <w:rPr>
          <w:rFonts w:hint="eastAsia" w:asciiTheme="minorEastAsia" w:hAnsiTheme="minorEastAsia" w:eastAsiaTheme="minorEastAsia" w:cstheme="minorEastAsia"/>
          <w:b/>
          <w:bCs/>
        </w:rPr>
      </w:pPr>
    </w:p>
    <w:p w14:paraId="43CDBADB">
      <w:pPr>
        <w:bidi w:val="0"/>
        <w:rPr>
          <w:rFonts w:hint="eastAsia" w:asciiTheme="minorEastAsia" w:hAnsiTheme="minorEastAsia" w:eastAsiaTheme="minorEastAsia" w:cstheme="minorEastAsia"/>
          <w:b/>
          <w:bCs/>
        </w:rPr>
      </w:pPr>
    </w:p>
    <w:p w14:paraId="3D0DCCB6">
      <w:pPr>
        <w:bidi w:val="0"/>
        <w:rPr>
          <w:rFonts w:hint="eastAsia" w:asciiTheme="minorEastAsia" w:hAnsiTheme="minorEastAsia" w:eastAsiaTheme="minorEastAsia" w:cstheme="minorEastAsia"/>
          <w:b/>
          <w:bCs/>
        </w:rPr>
      </w:pPr>
    </w:p>
    <w:p w14:paraId="6434FB7B">
      <w:pPr>
        <w:bidi w:val="0"/>
        <w:rPr>
          <w:rFonts w:hint="eastAsia" w:asciiTheme="minorEastAsia" w:hAnsiTheme="minorEastAsia" w:eastAsiaTheme="minorEastAsia" w:cstheme="minorEastAsia"/>
          <w:b/>
          <w:bCs/>
        </w:rPr>
      </w:pPr>
    </w:p>
    <w:p w14:paraId="72D157FE">
      <w:pPr>
        <w:bidi w:val="0"/>
        <w:rPr>
          <w:rFonts w:hint="eastAsia" w:asciiTheme="minorEastAsia" w:hAnsiTheme="minorEastAsia" w:eastAsiaTheme="minorEastAsia" w:cstheme="minorEastAsia"/>
          <w:b/>
          <w:bCs/>
        </w:rPr>
      </w:pPr>
    </w:p>
    <w:p w14:paraId="59D26518">
      <w:pPr>
        <w:bidi w:val="0"/>
        <w:rPr>
          <w:rFonts w:hint="eastAsia" w:asciiTheme="minorEastAsia" w:hAnsiTheme="minorEastAsia" w:eastAsiaTheme="minorEastAsia" w:cstheme="minorEastAsia"/>
          <w:b/>
          <w:bCs/>
        </w:rPr>
      </w:pPr>
    </w:p>
    <w:p w14:paraId="50E2E80B">
      <w:pPr>
        <w:bidi w:val="0"/>
        <w:rPr>
          <w:rFonts w:hint="eastAsia" w:asciiTheme="minorEastAsia" w:hAnsiTheme="minorEastAsia" w:eastAsiaTheme="minorEastAsia" w:cstheme="minorEastAsia"/>
          <w:b/>
          <w:bCs/>
        </w:rPr>
      </w:pPr>
    </w:p>
    <w:p w14:paraId="21967C21">
      <w:pPr>
        <w:bidi w:val="0"/>
        <w:rPr>
          <w:rFonts w:hint="eastAsia" w:asciiTheme="minorEastAsia" w:hAnsiTheme="minorEastAsia" w:eastAsiaTheme="minorEastAsia" w:cstheme="minorEastAsia"/>
          <w:b/>
          <w:bCs/>
        </w:rPr>
      </w:pPr>
    </w:p>
    <w:p w14:paraId="1BB2249E">
      <w:pPr>
        <w:bidi w:val="0"/>
        <w:rPr>
          <w:rFonts w:hint="eastAsia" w:asciiTheme="minorEastAsia" w:hAnsiTheme="minorEastAsia" w:eastAsiaTheme="minorEastAsia" w:cstheme="minorEastAsia"/>
          <w:b/>
          <w:bCs/>
        </w:rPr>
      </w:pPr>
    </w:p>
    <w:p w14:paraId="1C276DBB">
      <w:pPr>
        <w:bidi w:val="0"/>
        <w:rPr>
          <w:rFonts w:hint="eastAsia" w:asciiTheme="minorEastAsia" w:hAnsiTheme="minorEastAsia" w:eastAsiaTheme="minorEastAsia" w:cstheme="minorEastAsia"/>
          <w:b/>
          <w:bCs/>
        </w:rPr>
      </w:pPr>
    </w:p>
    <w:p w14:paraId="5A0B236C">
      <w:pPr>
        <w:bidi w:val="0"/>
        <w:rPr>
          <w:rFonts w:hint="eastAsia" w:asciiTheme="minorEastAsia" w:hAnsiTheme="minorEastAsia" w:eastAsiaTheme="minorEastAsia" w:cstheme="minorEastAsia"/>
          <w:b/>
          <w:bCs/>
        </w:rPr>
      </w:pPr>
    </w:p>
    <w:p w14:paraId="62B26447">
      <w:pPr>
        <w:bidi w:val="0"/>
        <w:rPr>
          <w:rFonts w:hint="eastAsia" w:asciiTheme="minorEastAsia" w:hAnsiTheme="minorEastAsia" w:eastAsiaTheme="minorEastAsia" w:cstheme="minorEastAsia"/>
          <w:b/>
          <w:bCs/>
        </w:rPr>
      </w:pPr>
    </w:p>
    <w:p w14:paraId="60ADB0E3">
      <w:pPr>
        <w:rPr>
          <w:rFonts w:hint="eastAsia" w:asciiTheme="minorEastAsia" w:hAnsiTheme="minorEastAsia" w:eastAsiaTheme="minorEastAsia" w:cstheme="minorEastAsia"/>
          <w:b/>
          <w:bCs/>
        </w:rPr>
      </w:pPr>
    </w:p>
    <w:p w14:paraId="29BDF06E">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一把手</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eastAsia="zh-CN"/>
        </w:rPr>
        <w:t>五</w:t>
      </w:r>
      <w:r>
        <w:rPr>
          <w:rFonts w:hint="eastAsia" w:asciiTheme="minorEastAsia" w:hAnsiTheme="minorEastAsia" w:eastAsiaTheme="minorEastAsia" w:cstheme="minorEastAsia"/>
          <w:b/>
          <w:bCs/>
        </w:rPr>
        <w:t>个不</w:t>
      </w:r>
      <w:r>
        <w:rPr>
          <w:rFonts w:hint="eastAsia" w:asciiTheme="minorEastAsia" w:hAnsiTheme="minorEastAsia" w:eastAsiaTheme="minorEastAsia" w:cstheme="minorEastAsia"/>
          <w:b/>
          <w:bCs/>
          <w:lang w:val="en-US" w:eastAsia="zh-CN"/>
        </w:rPr>
        <w:t>直</w:t>
      </w:r>
      <w:r>
        <w:rPr>
          <w:rFonts w:hint="eastAsia" w:asciiTheme="minorEastAsia" w:hAnsiTheme="minorEastAsia" w:eastAsiaTheme="minorEastAsia" w:cstheme="minorEastAsia"/>
          <w:b/>
          <w:bCs/>
        </w:rPr>
        <w:t>接管”制度</w:t>
      </w:r>
    </w:p>
    <w:p w14:paraId="6E4AF38D">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为加大从源头上预防和治理腐败的工作力度，对一把手的行政权力进行合理有效地监督和制</w:t>
      </w:r>
      <w:r>
        <w:rPr>
          <w:rFonts w:hint="eastAsia" w:asciiTheme="minorEastAsia" w:hAnsiTheme="minorEastAsia" w:eastAsiaTheme="minorEastAsia" w:cstheme="minorEastAsia"/>
          <w:b w:val="0"/>
          <w:bCs w:val="0"/>
          <w:color w:val="auto"/>
          <w:sz w:val="24"/>
          <w:szCs w:val="24"/>
          <w:lang w:eastAsia="zh-CN"/>
        </w:rPr>
        <w:t>约</w:t>
      </w:r>
      <w:r>
        <w:rPr>
          <w:rFonts w:hint="eastAsia" w:asciiTheme="minorEastAsia" w:hAnsiTheme="minorEastAsia" w:eastAsiaTheme="minorEastAsia" w:cstheme="minorEastAsia"/>
          <w:b w:val="0"/>
          <w:bCs w:val="0"/>
          <w:color w:val="auto"/>
          <w:sz w:val="24"/>
          <w:szCs w:val="24"/>
        </w:rPr>
        <w:t>，促进权力公开、公正、规范、透明运行</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根据《中国共产党党内监督条例》和</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纪委</w:t>
      </w:r>
      <w:r>
        <w:rPr>
          <w:rFonts w:hint="eastAsia" w:asciiTheme="minorEastAsia" w:hAnsiTheme="minorEastAsia" w:eastAsiaTheme="minorEastAsia" w:cstheme="minorEastAsia"/>
          <w:b w:val="0"/>
          <w:bCs w:val="0"/>
          <w:color w:val="auto"/>
          <w:sz w:val="24"/>
          <w:szCs w:val="24"/>
          <w:lang w:eastAsia="zh-CN"/>
        </w:rPr>
        <w:t>监委</w:t>
      </w:r>
      <w:r>
        <w:rPr>
          <w:rFonts w:hint="eastAsia" w:asciiTheme="minorEastAsia" w:hAnsiTheme="minorEastAsia" w:eastAsiaTheme="minorEastAsia" w:cstheme="minorEastAsia"/>
          <w:b w:val="0"/>
          <w:bCs w:val="0"/>
          <w:color w:val="auto"/>
          <w:sz w:val="24"/>
          <w:szCs w:val="24"/>
        </w:rPr>
        <w:t>的有关规定，结合</w:t>
      </w:r>
      <w:r>
        <w:rPr>
          <w:rFonts w:hint="eastAsia" w:asciiTheme="minorEastAsia" w:hAnsiTheme="minorEastAsia" w:eastAsiaTheme="minorEastAsia" w:cstheme="minorEastAsia"/>
          <w:b w:val="0"/>
          <w:bCs w:val="0"/>
          <w:color w:val="auto"/>
          <w:sz w:val="24"/>
          <w:szCs w:val="24"/>
          <w:lang w:val="en-US" w:eastAsia="zh-CN"/>
        </w:rPr>
        <w:t>白城市医疗保障局工作</w:t>
      </w:r>
      <w:r>
        <w:rPr>
          <w:rFonts w:hint="eastAsia" w:asciiTheme="minorEastAsia" w:hAnsiTheme="minorEastAsia" w:eastAsiaTheme="minorEastAsia" w:cstheme="minorEastAsia"/>
          <w:b w:val="0"/>
          <w:bCs w:val="0"/>
          <w:color w:val="auto"/>
          <w:sz w:val="24"/>
          <w:szCs w:val="24"/>
        </w:rPr>
        <w:t>实际，制定本制度。</w:t>
      </w:r>
    </w:p>
    <w:p w14:paraId="5E6475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第一条 </w:t>
      </w:r>
      <w:r>
        <w:rPr>
          <w:rFonts w:hint="eastAsia" w:asciiTheme="minorEastAsia" w:hAnsiTheme="minorEastAsia" w:eastAsiaTheme="minorEastAsia" w:cstheme="minorEastAsia"/>
          <w:b w:val="0"/>
          <w:bCs w:val="0"/>
          <w:color w:val="auto"/>
          <w:sz w:val="24"/>
          <w:szCs w:val="24"/>
        </w:rPr>
        <w:t>本制度规定的“</w:t>
      </w:r>
      <w:r>
        <w:rPr>
          <w:rFonts w:hint="eastAsia" w:asciiTheme="minorEastAsia" w:hAnsiTheme="minorEastAsia" w:eastAsiaTheme="minorEastAsia" w:cstheme="minorEastAsia"/>
          <w:b w:val="0"/>
          <w:bCs w:val="0"/>
          <w:color w:val="auto"/>
          <w:sz w:val="24"/>
          <w:szCs w:val="24"/>
          <w:lang w:eastAsia="zh-CN"/>
        </w:rPr>
        <w:t>五</w:t>
      </w:r>
      <w:r>
        <w:rPr>
          <w:rFonts w:hint="eastAsia" w:asciiTheme="minorEastAsia" w:hAnsiTheme="minorEastAsia" w:eastAsiaTheme="minorEastAsia" w:cstheme="minorEastAsia"/>
          <w:b w:val="0"/>
          <w:bCs w:val="0"/>
          <w:color w:val="auto"/>
          <w:sz w:val="24"/>
          <w:szCs w:val="24"/>
        </w:rPr>
        <w:t>个不直接管”是指一把手不直接分管财务、人事、物资采购、</w:t>
      </w:r>
      <w:r>
        <w:rPr>
          <w:rFonts w:hint="eastAsia" w:asciiTheme="minorEastAsia" w:hAnsiTheme="minorEastAsia" w:eastAsiaTheme="minorEastAsia" w:cstheme="minorEastAsia"/>
          <w:b w:val="0"/>
          <w:bCs w:val="0"/>
          <w:color w:val="auto"/>
          <w:sz w:val="24"/>
          <w:szCs w:val="24"/>
          <w:lang w:val="en-US" w:eastAsia="zh-CN"/>
        </w:rPr>
        <w:t>工程招标、</w:t>
      </w:r>
      <w:r>
        <w:rPr>
          <w:rFonts w:hint="eastAsia" w:asciiTheme="minorEastAsia" w:hAnsiTheme="minorEastAsia" w:eastAsiaTheme="minorEastAsia" w:cstheme="minorEastAsia"/>
          <w:b w:val="0"/>
          <w:bCs w:val="0"/>
          <w:i w:val="0"/>
          <w:caps w:val="0"/>
          <w:color w:val="auto"/>
          <w:spacing w:val="0"/>
          <w:sz w:val="24"/>
          <w:szCs w:val="24"/>
          <w:shd w:val="clear" w:fill="FFFFFF"/>
        </w:rPr>
        <w:t>行政审批</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五</w:t>
      </w:r>
      <w:r>
        <w:rPr>
          <w:rFonts w:hint="eastAsia" w:asciiTheme="minorEastAsia" w:hAnsiTheme="minorEastAsia" w:eastAsiaTheme="minorEastAsia" w:cstheme="minorEastAsia"/>
          <w:b w:val="0"/>
          <w:bCs w:val="0"/>
          <w:color w:val="auto"/>
          <w:sz w:val="24"/>
          <w:szCs w:val="24"/>
        </w:rPr>
        <w:t>项工作。实行一把手</w:t>
      </w:r>
      <w:r>
        <w:rPr>
          <w:rFonts w:hint="eastAsia" w:asciiTheme="minorEastAsia" w:hAnsiTheme="minorEastAsia" w:eastAsiaTheme="minorEastAsia" w:cstheme="minorEastAsia"/>
          <w:b w:val="0"/>
          <w:bCs w:val="0"/>
          <w:color w:val="auto"/>
          <w:sz w:val="24"/>
          <w:szCs w:val="24"/>
          <w:lang w:val="en-US" w:eastAsia="zh-CN"/>
        </w:rPr>
        <w:t>监督管理</w:t>
      </w:r>
      <w:r>
        <w:rPr>
          <w:rFonts w:hint="eastAsia" w:asciiTheme="minorEastAsia" w:hAnsiTheme="minorEastAsia" w:eastAsiaTheme="minorEastAsia" w:cstheme="minorEastAsia"/>
          <w:b w:val="0"/>
          <w:bCs w:val="0"/>
          <w:color w:val="auto"/>
          <w:sz w:val="24"/>
          <w:szCs w:val="24"/>
        </w:rPr>
        <w:t>，分管领导落实执行的管理</w:t>
      </w:r>
      <w:r>
        <w:rPr>
          <w:rFonts w:hint="eastAsia" w:asciiTheme="minorEastAsia" w:hAnsiTheme="minorEastAsia" w:eastAsiaTheme="minorEastAsia" w:cstheme="minorEastAsia"/>
          <w:b w:val="0"/>
          <w:bCs w:val="0"/>
          <w:color w:val="auto"/>
          <w:sz w:val="24"/>
          <w:szCs w:val="24"/>
          <w:lang w:eastAsia="zh-CN"/>
        </w:rPr>
        <w:t>机制</w:t>
      </w:r>
      <w:r>
        <w:rPr>
          <w:rFonts w:hint="eastAsia" w:asciiTheme="minorEastAsia" w:hAnsiTheme="minorEastAsia" w:eastAsiaTheme="minorEastAsia" w:cstheme="minorEastAsia"/>
          <w:b w:val="0"/>
          <w:bCs w:val="0"/>
          <w:color w:val="auto"/>
          <w:sz w:val="24"/>
          <w:szCs w:val="24"/>
        </w:rPr>
        <w:t>。</w:t>
      </w:r>
    </w:p>
    <w:p w14:paraId="109A658C">
      <w:pPr>
        <w:keepNext w:val="0"/>
        <w:keepLines w:val="0"/>
        <w:pageBreakBefore w:val="0"/>
        <w:widowControl/>
        <w:suppressLineNumbers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第二条 </w:t>
      </w:r>
      <w:r>
        <w:rPr>
          <w:rFonts w:hint="eastAsia" w:asciiTheme="minorEastAsia" w:hAnsiTheme="minorEastAsia" w:eastAsiaTheme="minorEastAsia" w:cstheme="minorEastAsia"/>
          <w:b w:val="0"/>
          <w:bCs w:val="0"/>
          <w:color w:val="auto"/>
          <w:sz w:val="24"/>
          <w:szCs w:val="24"/>
        </w:rPr>
        <w:t>一把手不直接分管财务。确定一名</w:t>
      </w:r>
      <w:r>
        <w:rPr>
          <w:rFonts w:hint="eastAsia" w:asciiTheme="minorEastAsia" w:hAnsiTheme="minorEastAsia" w:eastAsiaTheme="minorEastAsia" w:cstheme="minorEastAsia"/>
          <w:b w:val="0"/>
          <w:bCs w:val="0"/>
          <w:color w:val="auto"/>
          <w:sz w:val="24"/>
          <w:szCs w:val="24"/>
          <w:lang w:eastAsia="zh-CN"/>
        </w:rPr>
        <w:t>副局长分管</w:t>
      </w:r>
      <w:r>
        <w:rPr>
          <w:rFonts w:hint="eastAsia" w:asciiTheme="minorEastAsia" w:hAnsiTheme="minorEastAsia" w:eastAsiaTheme="minorEastAsia" w:cstheme="minorEastAsia"/>
          <w:b w:val="0"/>
          <w:bCs w:val="0"/>
          <w:color w:val="auto"/>
          <w:sz w:val="24"/>
          <w:szCs w:val="24"/>
        </w:rPr>
        <w:t>财务支出的审批，</w:t>
      </w:r>
      <w:r>
        <w:rPr>
          <w:rFonts w:hint="eastAsia" w:asciiTheme="minorEastAsia" w:hAnsiTheme="minorEastAsia" w:eastAsiaTheme="minorEastAsia" w:cstheme="minorEastAsia"/>
          <w:b w:val="0"/>
          <w:bCs w:val="0"/>
          <w:color w:val="auto"/>
          <w:kern w:val="0"/>
          <w:sz w:val="24"/>
          <w:szCs w:val="24"/>
          <w:lang w:val="en-US" w:eastAsia="zh-CN" w:bidi="ar"/>
        </w:rPr>
        <w:t>完善财务管理制度，明确审批程序，实行分级负责制度，数额较小的由分管财务领导的审批，数额较大的开支须经党组会议集体讨论决定。</w:t>
      </w:r>
      <w:r>
        <w:rPr>
          <w:rFonts w:hint="eastAsia" w:asciiTheme="minorEastAsia" w:hAnsiTheme="minorEastAsia" w:eastAsiaTheme="minorEastAsia" w:cstheme="minorEastAsia"/>
          <w:b w:val="0"/>
          <w:bCs w:val="0"/>
          <w:color w:val="auto"/>
          <w:sz w:val="24"/>
          <w:szCs w:val="24"/>
        </w:rPr>
        <w:t>一把手要</w:t>
      </w:r>
      <w:r>
        <w:rPr>
          <w:rFonts w:hint="eastAsia" w:asciiTheme="minorEastAsia" w:hAnsiTheme="minorEastAsia" w:eastAsiaTheme="minorEastAsia" w:cstheme="minorEastAsia"/>
          <w:b w:val="0"/>
          <w:bCs w:val="0"/>
          <w:color w:val="auto"/>
          <w:sz w:val="24"/>
          <w:szCs w:val="24"/>
          <w:lang w:val="en-US" w:eastAsia="zh-CN"/>
        </w:rPr>
        <w:t>每月</w:t>
      </w:r>
      <w:r>
        <w:rPr>
          <w:rFonts w:hint="eastAsia" w:asciiTheme="minorEastAsia" w:hAnsiTheme="minorEastAsia" w:eastAsiaTheme="minorEastAsia" w:cstheme="minorEastAsia"/>
          <w:b w:val="0"/>
          <w:bCs w:val="0"/>
          <w:color w:val="auto"/>
          <w:sz w:val="24"/>
          <w:szCs w:val="24"/>
        </w:rPr>
        <w:t>对发生的各种费用支出票据进行检查，</w:t>
      </w:r>
      <w:r>
        <w:rPr>
          <w:rFonts w:hint="eastAsia" w:asciiTheme="minorEastAsia" w:hAnsiTheme="minorEastAsia" w:eastAsiaTheme="minorEastAsia" w:cstheme="minorEastAsia"/>
          <w:b w:val="0"/>
          <w:bCs w:val="0"/>
          <w:color w:val="auto"/>
          <w:sz w:val="24"/>
          <w:szCs w:val="24"/>
          <w:lang w:eastAsia="zh-CN"/>
        </w:rPr>
        <w:t>特殊情况下可随时</w:t>
      </w:r>
      <w:r>
        <w:rPr>
          <w:rFonts w:hint="eastAsia" w:asciiTheme="minorEastAsia" w:hAnsiTheme="minorEastAsia" w:eastAsiaTheme="minorEastAsia" w:cstheme="minorEastAsia"/>
          <w:b w:val="0"/>
          <w:bCs w:val="0"/>
          <w:color w:val="auto"/>
          <w:sz w:val="24"/>
          <w:szCs w:val="24"/>
          <w:lang w:val="en-US" w:eastAsia="zh-CN"/>
        </w:rPr>
        <w:t>抽</w:t>
      </w:r>
      <w:r>
        <w:rPr>
          <w:rFonts w:hint="eastAsia" w:asciiTheme="minorEastAsia" w:hAnsiTheme="minorEastAsia" w:eastAsiaTheme="minorEastAsia" w:cstheme="minorEastAsia"/>
          <w:b w:val="0"/>
          <w:bCs w:val="0"/>
          <w:color w:val="auto"/>
          <w:sz w:val="24"/>
          <w:szCs w:val="24"/>
          <w:lang w:eastAsia="zh-CN"/>
        </w:rPr>
        <w:t>查，</w:t>
      </w:r>
      <w:r>
        <w:rPr>
          <w:rFonts w:hint="eastAsia" w:asciiTheme="minorEastAsia" w:hAnsiTheme="minorEastAsia" w:eastAsiaTheme="minorEastAsia" w:cstheme="minorEastAsia"/>
          <w:b w:val="0"/>
          <w:bCs w:val="0"/>
          <w:color w:val="auto"/>
          <w:sz w:val="24"/>
          <w:szCs w:val="24"/>
        </w:rPr>
        <w:t>发现问题及时纠正。</w:t>
      </w:r>
    </w:p>
    <w:p w14:paraId="0DD294F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 xml:space="preserve">第三条 </w:t>
      </w:r>
      <w:r>
        <w:rPr>
          <w:rFonts w:hint="eastAsia" w:asciiTheme="minorEastAsia" w:hAnsiTheme="minorEastAsia" w:eastAsiaTheme="minorEastAsia" w:cstheme="minorEastAsia"/>
          <w:b w:val="0"/>
          <w:bCs w:val="0"/>
          <w:color w:val="auto"/>
          <w:sz w:val="24"/>
          <w:szCs w:val="24"/>
        </w:rPr>
        <w:t>一把手不直接分管人事。确定一名</w:t>
      </w:r>
      <w:r>
        <w:rPr>
          <w:rFonts w:hint="eastAsia" w:asciiTheme="minorEastAsia" w:hAnsiTheme="minorEastAsia" w:eastAsiaTheme="minorEastAsia" w:cstheme="minorEastAsia"/>
          <w:b w:val="0"/>
          <w:bCs w:val="0"/>
          <w:color w:val="auto"/>
          <w:sz w:val="24"/>
          <w:szCs w:val="24"/>
          <w:lang w:eastAsia="zh-CN"/>
        </w:rPr>
        <w:t>副局长</w:t>
      </w:r>
      <w:r>
        <w:rPr>
          <w:rFonts w:hint="eastAsia" w:asciiTheme="minorEastAsia" w:hAnsiTheme="minorEastAsia" w:eastAsiaTheme="minorEastAsia" w:cstheme="minorEastAsia"/>
          <w:b w:val="0"/>
          <w:bCs w:val="0"/>
          <w:color w:val="auto"/>
          <w:sz w:val="24"/>
          <w:szCs w:val="24"/>
        </w:rPr>
        <w:t>分管人事工作。干部提拔任用、人员调入及重要岗位人员变动，要经班子集体讨论决定，严禁一把手个人说了算。干部提拔任用应严格按照《党政领导干部选拔任用工作条例》的原则、标准、程序进行。重要岗位人事变动，要按照公开、竞争、择优的原则进行。拟调人选，要由所需人员科室负责人和分管领导商量后提出，然后要对拟调人</w:t>
      </w:r>
      <w:r>
        <w:rPr>
          <w:rFonts w:hint="eastAsia" w:asciiTheme="minorEastAsia" w:hAnsiTheme="minorEastAsia" w:eastAsiaTheme="minorEastAsia" w:cstheme="minorEastAsia"/>
          <w:b w:val="0"/>
          <w:bCs w:val="0"/>
          <w:color w:val="auto"/>
          <w:sz w:val="24"/>
          <w:szCs w:val="24"/>
          <w:lang w:eastAsia="zh-CN"/>
        </w:rPr>
        <w:t>选</w:t>
      </w:r>
      <w:r>
        <w:rPr>
          <w:rFonts w:hint="eastAsia" w:asciiTheme="minorEastAsia" w:hAnsiTheme="minorEastAsia" w:eastAsiaTheme="minorEastAsia" w:cstheme="minorEastAsia"/>
          <w:b w:val="0"/>
          <w:bCs w:val="0"/>
          <w:color w:val="auto"/>
          <w:sz w:val="24"/>
          <w:szCs w:val="24"/>
        </w:rPr>
        <w:t>的德、能、勤、绩进行全面考核，班子成员在集体听取考核汇报同意后，再办理相关手续。一把手对整个组织实施情况进行监督检查</w:t>
      </w:r>
      <w:r>
        <w:rPr>
          <w:rFonts w:hint="eastAsia" w:asciiTheme="minorEastAsia" w:hAnsiTheme="minorEastAsia" w:eastAsiaTheme="minorEastAsia" w:cstheme="minorEastAsia"/>
          <w:b w:val="0"/>
          <w:bCs w:val="0"/>
          <w:color w:val="auto"/>
          <w:sz w:val="24"/>
          <w:szCs w:val="24"/>
          <w:lang w:eastAsia="zh-CN"/>
        </w:rPr>
        <w:t>。</w:t>
      </w:r>
    </w:p>
    <w:p w14:paraId="4E25D52B">
      <w:pPr>
        <w:pStyle w:val="6"/>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 xml:space="preserve">第四条 </w:t>
      </w:r>
      <w:r>
        <w:rPr>
          <w:rFonts w:hint="eastAsia" w:asciiTheme="minorEastAsia" w:hAnsiTheme="minorEastAsia" w:eastAsiaTheme="minorEastAsia" w:cstheme="minorEastAsia"/>
          <w:b w:val="0"/>
          <w:bCs w:val="0"/>
          <w:color w:val="auto"/>
          <w:sz w:val="24"/>
          <w:szCs w:val="24"/>
        </w:rPr>
        <w:t>一把手不直接分管物资采购</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确定一名</w:t>
      </w:r>
      <w:r>
        <w:rPr>
          <w:rFonts w:hint="eastAsia" w:asciiTheme="minorEastAsia" w:hAnsiTheme="minorEastAsia" w:eastAsiaTheme="minorEastAsia" w:cstheme="minorEastAsia"/>
          <w:b w:val="0"/>
          <w:bCs w:val="0"/>
          <w:color w:val="auto"/>
          <w:sz w:val="24"/>
          <w:szCs w:val="24"/>
          <w:lang w:eastAsia="zh-CN"/>
        </w:rPr>
        <w:t>副局长分管</w:t>
      </w:r>
      <w:r>
        <w:rPr>
          <w:rFonts w:hint="eastAsia" w:asciiTheme="minorEastAsia" w:hAnsiTheme="minorEastAsia" w:eastAsiaTheme="minorEastAsia" w:cstheme="minorEastAsia"/>
          <w:b w:val="0"/>
          <w:bCs w:val="0"/>
          <w:color w:val="auto"/>
          <w:sz w:val="24"/>
          <w:szCs w:val="24"/>
        </w:rPr>
        <w:t>物资采购工作</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kern w:val="0"/>
          <w:sz w:val="24"/>
          <w:szCs w:val="24"/>
          <w:lang w:val="en-US" w:eastAsia="zh-CN" w:bidi="ar"/>
        </w:rPr>
        <w:t>小额度</w:t>
      </w:r>
      <w:r>
        <w:rPr>
          <w:rFonts w:hint="eastAsia" w:asciiTheme="minorEastAsia" w:hAnsiTheme="minorEastAsia" w:eastAsiaTheme="minorEastAsia" w:cstheme="minorEastAsia"/>
          <w:b w:val="0"/>
          <w:bCs w:val="0"/>
          <w:color w:val="auto"/>
          <w:sz w:val="24"/>
          <w:szCs w:val="24"/>
        </w:rPr>
        <w:t>的物资采购，由有关科室提出计划，分管领导批准。</w:t>
      </w:r>
      <w:r>
        <w:rPr>
          <w:rFonts w:hint="eastAsia" w:asciiTheme="minorEastAsia" w:hAnsiTheme="minorEastAsia" w:eastAsiaTheme="minorEastAsia" w:cstheme="minorEastAsia"/>
          <w:b w:val="0"/>
          <w:bCs w:val="0"/>
          <w:color w:val="auto"/>
          <w:kern w:val="0"/>
          <w:sz w:val="24"/>
          <w:szCs w:val="24"/>
          <w:lang w:val="en-US" w:eastAsia="zh-CN" w:bidi="ar"/>
        </w:rPr>
        <w:t>大额度</w:t>
      </w:r>
      <w:r>
        <w:rPr>
          <w:rFonts w:hint="eastAsia" w:asciiTheme="minorEastAsia" w:hAnsiTheme="minorEastAsia" w:eastAsiaTheme="minorEastAsia" w:cstheme="minorEastAsia"/>
          <w:b w:val="0"/>
          <w:bCs w:val="0"/>
          <w:color w:val="auto"/>
          <w:sz w:val="24"/>
          <w:szCs w:val="24"/>
        </w:rPr>
        <w:t>的物资采购，</w:t>
      </w:r>
      <w:r>
        <w:rPr>
          <w:rFonts w:hint="eastAsia" w:asciiTheme="minorEastAsia" w:hAnsiTheme="minorEastAsia" w:eastAsiaTheme="minorEastAsia" w:cstheme="minorEastAsia"/>
          <w:b w:val="0"/>
          <w:bCs w:val="0"/>
          <w:color w:val="auto"/>
          <w:sz w:val="24"/>
          <w:szCs w:val="24"/>
          <w:lang w:eastAsia="zh-CN"/>
        </w:rPr>
        <w:t>经党组会议研究决定，</w:t>
      </w:r>
      <w:r>
        <w:rPr>
          <w:rFonts w:hint="eastAsia" w:asciiTheme="minorEastAsia" w:hAnsiTheme="minorEastAsia" w:eastAsiaTheme="minorEastAsia" w:cstheme="minorEastAsia"/>
          <w:b w:val="0"/>
          <w:bCs w:val="0"/>
          <w:color w:val="auto"/>
          <w:kern w:val="0"/>
          <w:sz w:val="24"/>
          <w:szCs w:val="24"/>
          <w:lang w:val="en-US" w:eastAsia="zh-CN" w:bidi="ar"/>
        </w:rPr>
        <w:t>凡采购列入政府采购目录的物资，要经党组会议集体研究决定，</w:t>
      </w:r>
      <w:r>
        <w:rPr>
          <w:rFonts w:hint="eastAsia" w:asciiTheme="minorEastAsia" w:hAnsiTheme="minorEastAsia" w:eastAsiaTheme="minorEastAsia" w:cstheme="minorEastAsia"/>
          <w:b w:val="0"/>
          <w:bCs w:val="0"/>
          <w:color w:val="auto"/>
          <w:sz w:val="24"/>
          <w:szCs w:val="24"/>
        </w:rPr>
        <w:t>一把手不准直接决定和从事任何大宗物资采购事宜。</w:t>
      </w:r>
    </w:p>
    <w:p w14:paraId="38E8F550">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 xml:space="preserve">第五条 </w:t>
      </w:r>
      <w:r>
        <w:rPr>
          <w:rFonts w:hint="eastAsia" w:asciiTheme="minorEastAsia" w:hAnsiTheme="minorEastAsia" w:eastAsiaTheme="minorEastAsia" w:cstheme="minorEastAsia"/>
          <w:b w:val="0"/>
          <w:bCs w:val="0"/>
          <w:color w:val="auto"/>
          <w:sz w:val="24"/>
          <w:szCs w:val="24"/>
          <w:lang w:val="en-US" w:eastAsia="zh-CN"/>
        </w:rPr>
        <w:t>一把手不直接分管工程招标</w:t>
      </w:r>
      <w:r>
        <w:rPr>
          <w:rFonts w:hint="eastAsia" w:asciiTheme="minorEastAsia" w:hAnsiTheme="minorEastAsia" w:eastAsiaTheme="minorEastAsia" w:cstheme="minorEastAsia"/>
          <w:b w:val="0"/>
          <w:bCs w:val="0"/>
          <w:color w:val="auto"/>
          <w:sz w:val="24"/>
          <w:szCs w:val="24"/>
          <w:lang w:eastAsia="zh-CN"/>
        </w:rPr>
        <w:t>。确定一名副局长具体负责工程建设及招标组织工作。有建筑工程项目时，按国家规定，应进行招投标的，按照招投标管理办法进行招投标，任何人不得插手和干预招投标活动；不需要进行招投标的，经班子集体研究决定，不许个人内定。一把手要对组织实施情况进行监督检查。</w:t>
      </w:r>
    </w:p>
    <w:p w14:paraId="274657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 xml:space="preserve">第六条 </w:t>
      </w:r>
      <w:r>
        <w:rPr>
          <w:rFonts w:hint="eastAsia" w:asciiTheme="minorEastAsia" w:hAnsiTheme="minorEastAsia" w:eastAsiaTheme="minorEastAsia" w:cstheme="minorEastAsia"/>
          <w:b w:val="0"/>
          <w:bCs w:val="0"/>
          <w:i w:val="0"/>
          <w:caps w:val="0"/>
          <w:color w:val="auto"/>
          <w:spacing w:val="0"/>
          <w:sz w:val="24"/>
          <w:szCs w:val="24"/>
          <w:shd w:val="clear" w:fill="FFFFFF"/>
        </w:rPr>
        <w:t>一把手不直接分管行政审批工作。确定</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一名</w:t>
      </w:r>
      <w:r>
        <w:rPr>
          <w:rFonts w:hint="eastAsia" w:asciiTheme="minorEastAsia" w:hAnsiTheme="minorEastAsia" w:eastAsiaTheme="minorEastAsia" w:cstheme="minorEastAsia"/>
          <w:b w:val="0"/>
          <w:bCs w:val="0"/>
          <w:i w:val="0"/>
          <w:caps w:val="0"/>
          <w:color w:val="auto"/>
          <w:spacing w:val="0"/>
          <w:sz w:val="24"/>
          <w:szCs w:val="24"/>
          <w:shd w:val="clear" w:fill="FFFFFF"/>
        </w:rPr>
        <w:t>分管领导具体负责，一把手要加强对行政审批工作的领导和监督，但不干涉行政审批的具体业务工作。</w:t>
      </w:r>
      <w:r>
        <w:rPr>
          <w:rFonts w:hint="eastAsia" w:asciiTheme="minorEastAsia" w:hAnsiTheme="minorEastAsia" w:eastAsiaTheme="minorEastAsia" w:cstheme="minorEastAsia"/>
          <w:b w:val="0"/>
          <w:bCs w:val="0"/>
          <w:color w:val="auto"/>
          <w:sz w:val="24"/>
          <w:szCs w:val="24"/>
          <w:lang w:val="en-US" w:eastAsia="zh-CN"/>
        </w:rPr>
        <w:t xml:space="preserve"> </w:t>
      </w:r>
    </w:p>
    <w:p w14:paraId="2D91A2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第七条 本制度的</w:t>
      </w:r>
      <w:r>
        <w:rPr>
          <w:rFonts w:hint="eastAsia" w:asciiTheme="minorEastAsia" w:hAnsiTheme="minorEastAsia" w:eastAsiaTheme="minorEastAsia" w:cstheme="minorEastAsia"/>
          <w:b w:val="0"/>
          <w:bCs w:val="0"/>
          <w:color w:val="auto"/>
          <w:sz w:val="24"/>
          <w:szCs w:val="24"/>
        </w:rPr>
        <w:t>执行</w:t>
      </w:r>
      <w:r>
        <w:rPr>
          <w:rFonts w:hint="eastAsia" w:asciiTheme="minorEastAsia" w:hAnsiTheme="minorEastAsia" w:eastAsiaTheme="minorEastAsia" w:cstheme="minorEastAsia"/>
          <w:b w:val="0"/>
          <w:bCs w:val="0"/>
          <w:color w:val="auto"/>
          <w:sz w:val="24"/>
          <w:szCs w:val="24"/>
          <w:lang w:val="en-US" w:eastAsia="zh-CN"/>
        </w:rPr>
        <w:t>落实</w:t>
      </w:r>
      <w:r>
        <w:rPr>
          <w:rFonts w:hint="eastAsia" w:asciiTheme="minorEastAsia" w:hAnsiTheme="minorEastAsia" w:eastAsiaTheme="minorEastAsia" w:cstheme="minorEastAsia"/>
          <w:b w:val="0"/>
          <w:bCs w:val="0"/>
          <w:color w:val="auto"/>
          <w:sz w:val="24"/>
          <w:szCs w:val="24"/>
        </w:rPr>
        <w:t>接受</w:t>
      </w:r>
      <w:r>
        <w:rPr>
          <w:rFonts w:hint="eastAsia" w:asciiTheme="minorEastAsia" w:hAnsiTheme="minorEastAsia" w:eastAsiaTheme="minorEastAsia" w:cstheme="minorEastAsia"/>
          <w:b w:val="0"/>
          <w:bCs w:val="0"/>
          <w:color w:val="auto"/>
          <w:sz w:val="24"/>
          <w:szCs w:val="24"/>
          <w:lang w:eastAsia="zh-CN"/>
        </w:rPr>
        <w:t>纪检监察组</w:t>
      </w:r>
      <w:r>
        <w:rPr>
          <w:rFonts w:hint="eastAsia" w:asciiTheme="minorEastAsia" w:hAnsiTheme="minorEastAsia" w:eastAsiaTheme="minorEastAsia" w:cstheme="minorEastAsia"/>
          <w:b w:val="0"/>
          <w:bCs w:val="0"/>
          <w:color w:val="auto"/>
          <w:sz w:val="24"/>
          <w:szCs w:val="24"/>
        </w:rPr>
        <w:t>检查</w:t>
      </w:r>
      <w:r>
        <w:rPr>
          <w:rFonts w:hint="eastAsia" w:asciiTheme="minorEastAsia" w:hAnsiTheme="minorEastAsia" w:eastAsiaTheme="minorEastAsia" w:cstheme="minorEastAsia"/>
          <w:b w:val="0"/>
          <w:bCs w:val="0"/>
          <w:color w:val="auto"/>
          <w:sz w:val="24"/>
          <w:szCs w:val="24"/>
          <w:lang w:val="en-US" w:eastAsia="zh-CN"/>
        </w:rPr>
        <w:t>和</w:t>
      </w:r>
      <w:r>
        <w:rPr>
          <w:rFonts w:hint="eastAsia" w:asciiTheme="minorEastAsia" w:hAnsiTheme="minorEastAsia" w:eastAsiaTheme="minorEastAsia" w:cstheme="minorEastAsia"/>
          <w:b w:val="0"/>
          <w:bCs w:val="0"/>
          <w:color w:val="auto"/>
          <w:sz w:val="24"/>
          <w:szCs w:val="24"/>
        </w:rPr>
        <w:t>干部职工的监督。</w:t>
      </w:r>
    </w:p>
    <w:p w14:paraId="54F7C1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第八条 本制度自发布之日起实施。</w:t>
      </w:r>
    </w:p>
    <w:p w14:paraId="7D07B7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2078" w:firstLineChars="575"/>
        <w:jc w:val="both"/>
        <w:rPr>
          <w:rFonts w:hint="eastAsia" w:asciiTheme="minorEastAsia" w:hAnsiTheme="minorEastAsia" w:eastAsiaTheme="minorEastAsia" w:cstheme="minorEastAsia"/>
          <w:b/>
          <w:bCs/>
          <w:i w:val="0"/>
          <w:caps w:val="0"/>
          <w:color w:val="auto"/>
          <w:spacing w:val="0"/>
          <w:sz w:val="36"/>
          <w:szCs w:val="36"/>
          <w:shd w:val="clear" w:fill="FFFFFF"/>
        </w:rPr>
      </w:pPr>
    </w:p>
    <w:p w14:paraId="3C357F4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2801" w:firstLineChars="775"/>
        <w:jc w:val="both"/>
        <w:rPr>
          <w:rFonts w:hint="eastAsia" w:asciiTheme="minorEastAsia" w:hAnsiTheme="minorEastAsia" w:eastAsiaTheme="minorEastAsia" w:cstheme="minorEastAsia"/>
          <w:b/>
          <w:bCs/>
          <w:i w:val="0"/>
          <w:caps w:val="0"/>
          <w:color w:val="auto"/>
          <w:spacing w:val="0"/>
          <w:sz w:val="36"/>
          <w:szCs w:val="36"/>
          <w:shd w:val="clear" w:fill="FFFFFF"/>
        </w:rPr>
      </w:pPr>
    </w:p>
    <w:p w14:paraId="7C7E08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2801" w:firstLineChars="775"/>
        <w:jc w:val="both"/>
        <w:rPr>
          <w:rFonts w:hint="eastAsia" w:asciiTheme="minorEastAsia" w:hAnsiTheme="minorEastAsia" w:eastAsiaTheme="minorEastAsia" w:cstheme="minorEastAsia"/>
          <w:b/>
          <w:bCs/>
          <w:i w:val="0"/>
          <w:caps w:val="0"/>
          <w:color w:val="auto"/>
          <w:spacing w:val="0"/>
          <w:sz w:val="36"/>
          <w:szCs w:val="36"/>
          <w:shd w:val="clear" w:fill="FFFFFF"/>
        </w:rPr>
      </w:pPr>
    </w:p>
    <w:p w14:paraId="38F660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2801" w:firstLineChars="775"/>
        <w:jc w:val="both"/>
        <w:rPr>
          <w:rFonts w:hint="eastAsia" w:asciiTheme="minorEastAsia" w:hAnsiTheme="minorEastAsia" w:eastAsiaTheme="minorEastAsia" w:cstheme="minorEastAsia"/>
          <w:b/>
          <w:bCs/>
          <w:i w:val="0"/>
          <w:caps w:val="0"/>
          <w:color w:val="auto"/>
          <w:spacing w:val="0"/>
          <w:sz w:val="36"/>
          <w:szCs w:val="36"/>
          <w:shd w:val="clear" w:fill="FFFFFF"/>
        </w:rPr>
      </w:pPr>
    </w:p>
    <w:p w14:paraId="55F5BA4C">
      <w:pPr>
        <w:rPr>
          <w:rFonts w:hint="eastAsia" w:asciiTheme="minorEastAsia" w:hAnsiTheme="minorEastAsia" w:eastAsiaTheme="minorEastAsia" w:cstheme="minorEastAsia"/>
          <w:b/>
          <w:bCs/>
          <w:i w:val="0"/>
          <w:caps w:val="0"/>
          <w:color w:val="auto"/>
          <w:spacing w:val="0"/>
          <w:sz w:val="36"/>
          <w:szCs w:val="36"/>
          <w:shd w:val="clear" w:fill="FFFFFF"/>
        </w:rPr>
      </w:pPr>
      <w:r>
        <w:rPr>
          <w:rFonts w:hint="eastAsia" w:asciiTheme="minorEastAsia" w:hAnsiTheme="minorEastAsia" w:eastAsiaTheme="minorEastAsia" w:cstheme="minorEastAsia"/>
          <w:b/>
          <w:bCs/>
          <w:i w:val="0"/>
          <w:caps w:val="0"/>
          <w:color w:val="auto"/>
          <w:spacing w:val="0"/>
          <w:sz w:val="36"/>
          <w:szCs w:val="36"/>
          <w:shd w:val="clear" w:fill="FFFFFF"/>
        </w:rPr>
        <w:br w:type="page"/>
      </w:r>
    </w:p>
    <w:p w14:paraId="114A26C2">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“末位表态”制度</w:t>
      </w:r>
    </w:p>
    <w:p w14:paraId="4EA0BE2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rPr>
        <w:t>为了全面落实中共中央《党内监督条例（试行）》等文件精神，认真贯彻民主集中制原则，加强对权力的监督和制约，</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结合白城市医疗保障局工作实际，</w:t>
      </w:r>
      <w:r>
        <w:rPr>
          <w:rFonts w:hint="eastAsia" w:asciiTheme="minorEastAsia" w:hAnsiTheme="minorEastAsia" w:eastAsiaTheme="minorEastAsia" w:cstheme="minorEastAsia"/>
          <w:b w:val="0"/>
          <w:bCs w:val="0"/>
          <w:i w:val="0"/>
          <w:caps w:val="0"/>
          <w:color w:val="auto"/>
          <w:spacing w:val="0"/>
          <w:sz w:val="24"/>
          <w:szCs w:val="24"/>
          <w:shd w:val="clear" w:fill="FFFFFF"/>
        </w:rPr>
        <w:t>制定</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本制度</w:t>
      </w:r>
      <w:r>
        <w:rPr>
          <w:rFonts w:hint="eastAsia" w:asciiTheme="minorEastAsia" w:hAnsiTheme="minorEastAsia" w:eastAsiaTheme="minorEastAsia" w:cstheme="minorEastAsia"/>
          <w:b w:val="0"/>
          <w:bCs w:val="0"/>
          <w:i w:val="0"/>
          <w:caps w:val="0"/>
          <w:color w:val="auto"/>
          <w:spacing w:val="0"/>
          <w:sz w:val="24"/>
          <w:szCs w:val="24"/>
          <w:shd w:val="clear" w:fill="FFFFFF"/>
        </w:rPr>
        <w:t>。</w:t>
      </w:r>
    </w:p>
    <w:p w14:paraId="0785ED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第一条</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24"/>
          <w:szCs w:val="24"/>
          <w:shd w:val="clear" w:fill="FFFFFF"/>
        </w:rPr>
        <w:t>末位表态的形式</w:t>
      </w:r>
    </w:p>
    <w:p w14:paraId="042A86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rPr>
        <w:t>凡领导班子在研究决定重大事项、重大决策、重要干部任免、重大项目安排、大额度资金使用时，班子其他成员先表态发言，经集体讨论，</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党组书记</w:t>
      </w:r>
      <w:r>
        <w:rPr>
          <w:rFonts w:hint="eastAsia" w:asciiTheme="minorEastAsia" w:hAnsiTheme="minorEastAsia" w:eastAsiaTheme="minorEastAsia" w:cstheme="minorEastAsia"/>
          <w:b w:val="0"/>
          <w:bCs w:val="0"/>
          <w:i w:val="0"/>
          <w:caps w:val="0"/>
          <w:color w:val="auto"/>
          <w:spacing w:val="0"/>
          <w:sz w:val="24"/>
          <w:szCs w:val="24"/>
          <w:shd w:val="clear" w:fill="FFFFFF"/>
        </w:rPr>
        <w:t>在议事决策中应最后一个表态发言。</w:t>
      </w:r>
    </w:p>
    <w:p w14:paraId="71AC73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第二条</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24"/>
          <w:szCs w:val="24"/>
          <w:shd w:val="clear" w:fill="FFFFFF"/>
        </w:rPr>
        <w:t>末位表态的范围</w:t>
      </w:r>
    </w:p>
    <w:p w14:paraId="7FAB2B8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lang w:eastAsia="zh-CN"/>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1.</w:t>
      </w:r>
      <w:r>
        <w:rPr>
          <w:rFonts w:hint="eastAsia" w:asciiTheme="minorEastAsia" w:hAnsiTheme="minorEastAsia" w:eastAsiaTheme="minorEastAsia" w:cstheme="minorEastAsia"/>
          <w:b w:val="0"/>
          <w:bCs w:val="0"/>
          <w:i w:val="0"/>
          <w:caps w:val="0"/>
          <w:color w:val="auto"/>
          <w:spacing w:val="0"/>
          <w:sz w:val="24"/>
          <w:szCs w:val="24"/>
          <w:shd w:val="clear" w:fill="FFFFFF"/>
        </w:rPr>
        <w:t>人员的录用、推荐、任免、调整、奖惩，机构、编制的变动和确定，人才引进、使用的确定</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p>
    <w:p w14:paraId="3FB0D71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lang w:eastAsia="zh-CN"/>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2.</w:t>
      </w:r>
      <w:r>
        <w:rPr>
          <w:rFonts w:hint="eastAsia" w:asciiTheme="minorEastAsia" w:hAnsiTheme="minorEastAsia" w:eastAsiaTheme="minorEastAsia" w:cstheme="minorEastAsia"/>
          <w:b w:val="0"/>
          <w:bCs w:val="0"/>
          <w:i w:val="0"/>
          <w:caps w:val="0"/>
          <w:color w:val="auto"/>
          <w:spacing w:val="0"/>
          <w:sz w:val="24"/>
          <w:szCs w:val="24"/>
          <w:shd w:val="clear" w:fill="FFFFFF"/>
        </w:rPr>
        <w:t>财务收支预算安排，大额度资金使用，大宗物资采购事项的确定</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p>
    <w:p w14:paraId="037875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lang w:eastAsia="zh-CN"/>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3.</w:t>
      </w:r>
      <w:r>
        <w:rPr>
          <w:rFonts w:hint="eastAsia" w:asciiTheme="minorEastAsia" w:hAnsiTheme="minorEastAsia" w:eastAsiaTheme="minorEastAsia" w:cstheme="minorEastAsia"/>
          <w:b w:val="0"/>
          <w:bCs w:val="0"/>
          <w:i w:val="0"/>
          <w:caps w:val="0"/>
          <w:color w:val="auto"/>
          <w:spacing w:val="0"/>
          <w:sz w:val="24"/>
          <w:szCs w:val="24"/>
          <w:shd w:val="clear" w:fill="FFFFFF"/>
        </w:rPr>
        <w:t>重大建设项目的审定，重点工程项目的招投标，重要项目的审批等事项</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p>
    <w:p w14:paraId="6F070BF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4.</w:t>
      </w:r>
      <w:r>
        <w:rPr>
          <w:rFonts w:hint="eastAsia" w:asciiTheme="minorEastAsia" w:hAnsiTheme="minorEastAsia" w:eastAsiaTheme="minorEastAsia" w:cstheme="minorEastAsia"/>
          <w:b w:val="0"/>
          <w:bCs w:val="0"/>
          <w:i w:val="0"/>
          <w:caps w:val="0"/>
          <w:color w:val="auto"/>
          <w:spacing w:val="0"/>
          <w:sz w:val="24"/>
          <w:szCs w:val="24"/>
          <w:shd w:val="clear" w:fill="FFFFFF"/>
        </w:rPr>
        <w:t>其它容易发生腐败和不正之风的问题。</w:t>
      </w:r>
    </w:p>
    <w:p w14:paraId="10D3A4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第三条</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24"/>
          <w:szCs w:val="24"/>
          <w:shd w:val="clear" w:fill="FFFFFF"/>
        </w:rPr>
        <w:t>末位表态的程序</w:t>
      </w:r>
    </w:p>
    <w:p w14:paraId="62D801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1.</w:t>
      </w:r>
      <w:r>
        <w:rPr>
          <w:rFonts w:hint="eastAsia" w:asciiTheme="minorEastAsia" w:hAnsiTheme="minorEastAsia" w:eastAsiaTheme="minorEastAsia" w:cstheme="minorEastAsia"/>
          <w:b w:val="0"/>
          <w:bCs w:val="0"/>
          <w:i w:val="0"/>
          <w:caps w:val="0"/>
          <w:color w:val="auto"/>
          <w:spacing w:val="0"/>
          <w:sz w:val="24"/>
          <w:szCs w:val="24"/>
          <w:shd w:val="clear" w:fill="FFFFFF"/>
        </w:rPr>
        <w:t>事前告知。在决定重大事项、重要人事任免、重大项目安排、大额资金使用等事关全局的问题时，必须召开会议集体研究决定，不得以“传阅”、“会签”、“碰头会”、“个别征求意见”等形式代替会议表决。会前必须将议题告知班子成员，使班子成员有充足的时间征求多方意见，并进行充分思考和酝酿，做到议事时心中有数、有的放矢。凡事前未告知的事项一律不上会，任何人不得搞临时动议。</w:t>
      </w:r>
    </w:p>
    <w:p w14:paraId="50F190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2.</w:t>
      </w:r>
      <w:r>
        <w:rPr>
          <w:rFonts w:hint="eastAsia" w:asciiTheme="minorEastAsia" w:hAnsiTheme="minorEastAsia" w:eastAsiaTheme="minorEastAsia" w:cstheme="minorEastAsia"/>
          <w:b w:val="0"/>
          <w:bCs w:val="0"/>
          <w:i w:val="0"/>
          <w:caps w:val="0"/>
          <w:color w:val="auto"/>
          <w:spacing w:val="0"/>
          <w:sz w:val="24"/>
          <w:szCs w:val="24"/>
          <w:shd w:val="clear" w:fill="FFFFFF"/>
        </w:rPr>
        <w:t>充分讨论。凡集体研究重要事项，必须充分发扬民主，</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党组书记</w:t>
      </w:r>
      <w:r>
        <w:rPr>
          <w:rFonts w:hint="eastAsia" w:asciiTheme="minorEastAsia" w:hAnsiTheme="minorEastAsia" w:eastAsiaTheme="minorEastAsia" w:cstheme="minorEastAsia"/>
          <w:b w:val="0"/>
          <w:bCs w:val="0"/>
          <w:i w:val="0"/>
          <w:caps w:val="0"/>
          <w:color w:val="auto"/>
          <w:spacing w:val="0"/>
          <w:sz w:val="24"/>
          <w:szCs w:val="24"/>
          <w:shd w:val="clear" w:fill="FFFFFF"/>
        </w:rPr>
        <w:t>不得先定调子，不得划定框架；</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w:t>
      </w:r>
      <w:r>
        <w:rPr>
          <w:rFonts w:hint="eastAsia" w:asciiTheme="minorEastAsia" w:hAnsiTheme="minorEastAsia" w:eastAsiaTheme="minorEastAsia" w:cstheme="minorEastAsia"/>
          <w:b w:val="0"/>
          <w:bCs w:val="0"/>
          <w:i w:val="0"/>
          <w:caps w:val="0"/>
          <w:color w:val="auto"/>
          <w:spacing w:val="0"/>
          <w:sz w:val="24"/>
          <w:szCs w:val="24"/>
          <w:shd w:val="clear" w:fill="FFFFFF"/>
        </w:rPr>
        <w:t>班子</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caps w:val="0"/>
          <w:color w:val="auto"/>
          <w:spacing w:val="0"/>
          <w:sz w:val="24"/>
          <w:szCs w:val="24"/>
          <w:shd w:val="clear" w:fill="FFFFFF"/>
        </w:rPr>
        <w:t>成员应就事论事、畅所欲言、各抒己见，对决策事项的科学性、可行性、操作性要进行深入分析，认真磋商；任何人不得压制民主，不得私谋串通；</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w:t>
      </w:r>
      <w:r>
        <w:rPr>
          <w:rFonts w:hint="eastAsia" w:asciiTheme="minorEastAsia" w:hAnsiTheme="minorEastAsia" w:eastAsiaTheme="minorEastAsia" w:cstheme="minorEastAsia"/>
          <w:b w:val="0"/>
          <w:bCs w:val="0"/>
          <w:i w:val="0"/>
          <w:caps w:val="0"/>
          <w:color w:val="auto"/>
          <w:spacing w:val="0"/>
          <w:sz w:val="24"/>
          <w:szCs w:val="24"/>
          <w:shd w:val="clear" w:fill="FFFFFF"/>
        </w:rPr>
        <w:t>班子</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caps w:val="0"/>
          <w:color w:val="auto"/>
          <w:spacing w:val="0"/>
          <w:sz w:val="24"/>
          <w:szCs w:val="24"/>
          <w:shd w:val="clear" w:fill="FFFFFF"/>
        </w:rPr>
        <w:t>成员要坚持民主集中制原则，增强全局意识，个人服从组织，少数服从多数，自觉维护班子的团结和统一，以对党和人民高度负责的态度，充分发表个人意见，积极发挥班子成员的作用，促进对重大事项的正确、科学决策。对政策性、法律性较强的事项，还必须邀请专业人士列席会议，为决策事项提供政策、法律方面的支持，确保决策不偏离政策、违背法律。</w:t>
      </w:r>
    </w:p>
    <w:p w14:paraId="639E8A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shd w:val="clear" w:fill="FFFFFF"/>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3.</w:t>
      </w:r>
      <w:r>
        <w:rPr>
          <w:rFonts w:hint="eastAsia" w:asciiTheme="minorEastAsia" w:hAnsiTheme="minorEastAsia" w:eastAsiaTheme="minorEastAsia" w:cstheme="minorEastAsia"/>
          <w:b w:val="0"/>
          <w:bCs w:val="0"/>
          <w:i w:val="0"/>
          <w:caps w:val="0"/>
          <w:color w:val="auto"/>
          <w:spacing w:val="0"/>
          <w:sz w:val="24"/>
          <w:szCs w:val="24"/>
          <w:shd w:val="clear" w:fill="FFFFFF"/>
        </w:rPr>
        <w:t>末位定义。</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w:t>
      </w:r>
      <w:r>
        <w:rPr>
          <w:rFonts w:hint="eastAsia" w:asciiTheme="minorEastAsia" w:hAnsiTheme="minorEastAsia" w:eastAsiaTheme="minorEastAsia" w:cstheme="minorEastAsia"/>
          <w:b w:val="0"/>
          <w:bCs w:val="0"/>
          <w:i w:val="0"/>
          <w:caps w:val="0"/>
          <w:color w:val="auto"/>
          <w:spacing w:val="0"/>
          <w:sz w:val="24"/>
          <w:szCs w:val="24"/>
          <w:shd w:val="clear" w:fill="FFFFFF"/>
        </w:rPr>
        <w:t>班子</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caps w:val="0"/>
          <w:color w:val="auto"/>
          <w:spacing w:val="0"/>
          <w:sz w:val="24"/>
          <w:szCs w:val="24"/>
          <w:shd w:val="clear" w:fill="FFFFFF"/>
        </w:rPr>
        <w:t>集体研究重要事项、重大问题时，在充分发扬民主的基础上，最后由</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党组书记</w:t>
      </w:r>
      <w:r>
        <w:rPr>
          <w:rFonts w:hint="eastAsia" w:asciiTheme="minorEastAsia" w:hAnsiTheme="minorEastAsia" w:eastAsiaTheme="minorEastAsia" w:cstheme="minorEastAsia"/>
          <w:b w:val="0"/>
          <w:bCs w:val="0"/>
          <w:i w:val="0"/>
          <w:caps w:val="0"/>
          <w:color w:val="auto"/>
          <w:spacing w:val="0"/>
          <w:sz w:val="24"/>
          <w:szCs w:val="24"/>
          <w:shd w:val="clear" w:fill="FFFFFF"/>
        </w:rPr>
        <w:t>综合集体意见并作出最后陈述表态。当意见不一、出现明显分歧时，按照少数服从多数的原则，实行班子成员集体表决，但仍由</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党组书记</w:t>
      </w:r>
      <w:r>
        <w:rPr>
          <w:rFonts w:hint="eastAsia" w:asciiTheme="minorEastAsia" w:hAnsiTheme="minorEastAsia" w:eastAsiaTheme="minorEastAsia" w:cstheme="minorEastAsia"/>
          <w:b w:val="0"/>
          <w:bCs w:val="0"/>
          <w:i w:val="0"/>
          <w:caps w:val="0"/>
          <w:color w:val="auto"/>
          <w:spacing w:val="0"/>
          <w:sz w:val="24"/>
          <w:szCs w:val="24"/>
          <w:shd w:val="clear" w:fill="FFFFFF"/>
        </w:rPr>
        <w:t>按照集体表决意见作最终表态。</w:t>
      </w:r>
    </w:p>
    <w:p w14:paraId="3B1B504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4.</w:t>
      </w:r>
      <w:r>
        <w:rPr>
          <w:rFonts w:hint="eastAsia" w:asciiTheme="minorEastAsia" w:hAnsiTheme="minorEastAsia" w:eastAsiaTheme="minorEastAsia" w:cstheme="minorEastAsia"/>
          <w:b w:val="0"/>
          <w:bCs w:val="0"/>
          <w:i w:val="0"/>
          <w:caps w:val="0"/>
          <w:color w:val="auto"/>
          <w:spacing w:val="0"/>
          <w:sz w:val="24"/>
          <w:szCs w:val="24"/>
          <w:shd w:val="clear" w:fill="FFFFFF"/>
        </w:rPr>
        <w:t>如实记录。集体研究重大问题，必须指定专人进行记录，对每位</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w:t>
      </w:r>
      <w:r>
        <w:rPr>
          <w:rFonts w:hint="eastAsia" w:asciiTheme="minorEastAsia" w:hAnsiTheme="minorEastAsia" w:eastAsiaTheme="minorEastAsia" w:cstheme="minorEastAsia"/>
          <w:b w:val="0"/>
          <w:bCs w:val="0"/>
          <w:i w:val="0"/>
          <w:caps w:val="0"/>
          <w:color w:val="auto"/>
          <w:spacing w:val="0"/>
          <w:sz w:val="24"/>
          <w:szCs w:val="24"/>
          <w:shd w:val="clear" w:fill="FFFFFF"/>
        </w:rPr>
        <w:t>班子</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caps w:val="0"/>
          <w:color w:val="auto"/>
          <w:spacing w:val="0"/>
          <w:sz w:val="24"/>
          <w:szCs w:val="24"/>
          <w:shd w:val="clear" w:fill="FFFFFF"/>
        </w:rPr>
        <w:t>成员的陈述意见，特别是对最终决策方式（</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党组书记</w:t>
      </w:r>
      <w:r>
        <w:rPr>
          <w:rFonts w:hint="eastAsia" w:asciiTheme="minorEastAsia" w:hAnsiTheme="minorEastAsia" w:eastAsiaTheme="minorEastAsia" w:cstheme="minorEastAsia"/>
          <w:b w:val="0"/>
          <w:bCs w:val="0"/>
          <w:i w:val="0"/>
          <w:caps w:val="0"/>
          <w:color w:val="auto"/>
          <w:spacing w:val="0"/>
          <w:sz w:val="24"/>
          <w:szCs w:val="24"/>
          <w:shd w:val="clear" w:fill="FFFFFF"/>
        </w:rPr>
        <w:t>决策或集体表决）、决策内容必须详尽、如实记录在案，以此作为决策责任承担的依据。</w:t>
      </w:r>
    </w:p>
    <w:p w14:paraId="2798A1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right="0" w:firstLine="480" w:firstLineChars="200"/>
        <w:jc w:val="both"/>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color w:val="auto"/>
          <w:sz w:val="24"/>
          <w:szCs w:val="24"/>
          <w:lang w:val="en-US" w:eastAsia="zh-CN"/>
        </w:rPr>
        <w:t>第四条 本制度自发布之日起实施。</w:t>
      </w:r>
    </w:p>
    <w:p w14:paraId="501D09DE">
      <w:pPr>
        <w:pageBreakBefore w:val="0"/>
        <w:kinsoku/>
        <w:overflowPunct/>
        <w:topLinePunct w:val="0"/>
        <w:bidi w:val="0"/>
        <w:jc w:val="both"/>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1F40339C">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“三重一大”事项集体议事决策制度</w:t>
      </w:r>
    </w:p>
    <w:p w14:paraId="27EA4F9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第一章</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eastAsia="zh-CN"/>
        </w:rPr>
        <w:t>总则</w:t>
      </w:r>
    </w:p>
    <w:p w14:paraId="061D34B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为落实中共中央关于“重大事项决策、重要干部任免、重要项目安排、大额资金的使用，必须经集体讨论做出决定”的制度（以下简称“三重一大”制度），结合白城市医疗保障局工作实际</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制定本制度。</w:t>
      </w:r>
    </w:p>
    <w:p w14:paraId="1681194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第二章</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内容和范围</w:t>
      </w:r>
    </w:p>
    <w:p w14:paraId="1C88DDB4">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第二条 </w:t>
      </w:r>
      <w:r>
        <w:rPr>
          <w:rFonts w:hint="eastAsia" w:asciiTheme="minorEastAsia" w:hAnsiTheme="minorEastAsia" w:eastAsiaTheme="minorEastAsia" w:cstheme="minorEastAsia"/>
          <w:b w:val="0"/>
          <w:bCs w:val="0"/>
          <w:color w:val="auto"/>
          <w:sz w:val="24"/>
          <w:szCs w:val="24"/>
        </w:rPr>
        <w:t>重大事项决策的内容和范围</w:t>
      </w:r>
    </w:p>
    <w:p w14:paraId="40EB960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党和国家的路线、方针、政策和中央、省、市重要文件、会议精神的贯彻落实和需向上级请示、报告的重要事项；</w:t>
      </w:r>
    </w:p>
    <w:p w14:paraId="652C06F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基层党建工作、党风廉政工作、精神文明建设、思想政治工作方面的重大问题；</w:t>
      </w:r>
    </w:p>
    <w:p w14:paraId="2D05E73A">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整体工作规划，年度工作计划、工作目标的确定,年度重要工作部署、重大活动安排，以及事关人民群众切身利益、涉及面较广的重要事项；</w:t>
      </w:r>
    </w:p>
    <w:p w14:paraId="7511DD1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财务年度预算调整；</w:t>
      </w:r>
    </w:p>
    <w:p w14:paraId="7630230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工资、待遇、医保等涉及全体工作人员的事项；</w:t>
      </w:r>
    </w:p>
    <w:p w14:paraId="49D17084">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重大人身伤亡、责任事故、突发事件的处理；</w:t>
      </w:r>
    </w:p>
    <w:p w14:paraId="00F63F86">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涉及本单位重大改革方案和改革措施的制定，重要政策和制度的制定、修改、调整和废止等重要事项；</w:t>
      </w:r>
    </w:p>
    <w:p w14:paraId="3AA1A7C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社会民生事业和社会保障等方面重要事项；</w:t>
      </w:r>
    </w:p>
    <w:p w14:paraId="45F9BCAC">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党组认为应当集体研究决定的其他重要问题。</w:t>
      </w:r>
    </w:p>
    <w:p w14:paraId="08013261">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第三条 </w:t>
      </w:r>
      <w:r>
        <w:rPr>
          <w:rFonts w:hint="eastAsia" w:asciiTheme="minorEastAsia" w:hAnsiTheme="minorEastAsia" w:eastAsiaTheme="minorEastAsia" w:cstheme="minorEastAsia"/>
          <w:b w:val="0"/>
          <w:bCs w:val="0"/>
          <w:color w:val="auto"/>
          <w:sz w:val="24"/>
          <w:szCs w:val="24"/>
        </w:rPr>
        <w:t>重要干部任免的内容和范围</w:t>
      </w:r>
    </w:p>
    <w:p w14:paraId="53875814">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领导班子成员分工及调整；</w:t>
      </w:r>
    </w:p>
    <w:p w14:paraId="2152A28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党代表、人大代表、政协委员候选人的推荐；</w:t>
      </w:r>
    </w:p>
    <w:p w14:paraId="7334F13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后备干部的确定；</w:t>
      </w:r>
    </w:p>
    <w:p w14:paraId="7B69A48E">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干部选拔、任用、考核和奖惩；</w:t>
      </w:r>
    </w:p>
    <w:p w14:paraId="7991FD7F">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其它应当提交集体讨论决定的重要干部任免事项；</w:t>
      </w:r>
    </w:p>
    <w:p w14:paraId="70370CBD">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推荐申报先进个人或先进集体。</w:t>
      </w:r>
    </w:p>
    <w:p w14:paraId="24247FB5">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重要项目安排的内容和范围</w:t>
      </w:r>
    </w:p>
    <w:p w14:paraId="53117127">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各类重大工程（在建项目、基础设施建设、维修保养等）建设项目、重大项目前期准备事项及实施过程中需要协调、监管事项；</w:t>
      </w:r>
    </w:p>
    <w:p w14:paraId="1E7AFC6A">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重大建设项目发生重大变更及超概算（预算）调整；</w:t>
      </w:r>
    </w:p>
    <w:p w14:paraId="125ED7E5">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重大投资项目安排，包括以财政性资金或融资投资的重大项目，重大活动项目安排，包括文化、体育等重大活动和节庆活动；</w:t>
      </w:r>
    </w:p>
    <w:p w14:paraId="2E918BFD">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大宗办公物资、设备采购，工程项目招投标及各类固定资产处置，办公设备购置；</w:t>
      </w:r>
    </w:p>
    <w:p w14:paraId="0415B1B0">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涉及经济发展的重要社会民生项目的安排、督促检查、验收等；</w:t>
      </w:r>
    </w:p>
    <w:p w14:paraId="03547BB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上级批准的重大或集体考察学习活动项目经费的支出。</w:t>
      </w:r>
    </w:p>
    <w:p w14:paraId="417091A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大额度资金使用的内容和范围</w:t>
      </w:r>
    </w:p>
    <w:p w14:paraId="4ABFF40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按照财政预算、决算的编制原则、制订调整和大额度资金使用原则；</w:t>
      </w:r>
    </w:p>
    <w:p w14:paraId="63782EEC">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各类专项资金的安排、使用、管理、监督；</w:t>
      </w:r>
    </w:p>
    <w:p w14:paraId="6B2FA986">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固定资产、工程款的资金安排、使用与管理；</w:t>
      </w:r>
    </w:p>
    <w:p w14:paraId="7C0A3554">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年度预算外的大宗物资采购事项；</w:t>
      </w:r>
    </w:p>
    <w:p w14:paraId="1D4930BE">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预算外行政日常公用经费的支出；</w:t>
      </w:r>
    </w:p>
    <w:p w14:paraId="23B8138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其他应由集体决策的大额度资金使用。</w:t>
      </w:r>
    </w:p>
    <w:p w14:paraId="74292A8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大额资金支出审批管理</w:t>
      </w:r>
    </w:p>
    <w:p w14:paraId="09259185">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内办公经费支出超过2</w:t>
      </w:r>
      <w:r>
        <w:rPr>
          <w:rFonts w:hint="eastAsia" w:asciiTheme="minorEastAsia" w:hAnsiTheme="minorEastAsia" w:eastAsiaTheme="minorEastAsia" w:cstheme="minorEastAsia"/>
          <w:b w:val="0"/>
          <w:bCs w:val="0"/>
          <w:color w:val="auto"/>
          <w:sz w:val="24"/>
          <w:szCs w:val="24"/>
          <w:lang w:val="en-US" w:eastAsia="zh-CN"/>
        </w:rPr>
        <w:t>0000</w:t>
      </w:r>
      <w:r>
        <w:rPr>
          <w:rFonts w:hint="eastAsia" w:asciiTheme="minorEastAsia" w:hAnsiTheme="minorEastAsia" w:eastAsiaTheme="minorEastAsia" w:cstheme="minorEastAsia"/>
          <w:b w:val="0"/>
          <w:bCs w:val="0"/>
          <w:color w:val="auto"/>
          <w:sz w:val="24"/>
          <w:szCs w:val="24"/>
        </w:rPr>
        <w:t>元，需提交党组会决策；</w:t>
      </w:r>
    </w:p>
    <w:p w14:paraId="5D2A5F0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直属单位购买办公设备一次性总额达到</w:t>
      </w:r>
      <w:r>
        <w:rPr>
          <w:rFonts w:hint="eastAsia" w:asciiTheme="minorEastAsia" w:hAnsiTheme="minorEastAsia" w:eastAsiaTheme="minorEastAsia" w:cstheme="minorEastAsia"/>
          <w:b w:val="0"/>
          <w:bCs w:val="0"/>
          <w:color w:val="auto"/>
          <w:sz w:val="24"/>
          <w:szCs w:val="24"/>
          <w:lang w:val="en-US" w:eastAsia="zh-CN"/>
        </w:rPr>
        <w:t>20000</w:t>
      </w:r>
      <w:r>
        <w:rPr>
          <w:rFonts w:hint="eastAsia" w:asciiTheme="minorEastAsia" w:hAnsiTheme="minorEastAsia" w:eastAsiaTheme="minorEastAsia" w:cstheme="minorEastAsia"/>
          <w:b w:val="0"/>
          <w:bCs w:val="0"/>
          <w:color w:val="auto"/>
          <w:sz w:val="24"/>
          <w:szCs w:val="24"/>
        </w:rPr>
        <w:t>元</w:t>
      </w:r>
      <w:r>
        <w:rPr>
          <w:rFonts w:hint="eastAsia" w:asciiTheme="minorEastAsia" w:hAnsiTheme="minorEastAsia" w:eastAsiaTheme="minorEastAsia" w:cstheme="minorEastAsia"/>
          <w:b w:val="0"/>
          <w:bCs w:val="0"/>
          <w:color w:val="auto"/>
          <w:sz w:val="24"/>
          <w:szCs w:val="24"/>
          <w:lang w:eastAsia="zh-CN"/>
        </w:rPr>
        <w:t>的</w:t>
      </w:r>
      <w:r>
        <w:rPr>
          <w:rFonts w:hint="eastAsia" w:asciiTheme="minorEastAsia" w:hAnsiTheme="minorEastAsia" w:eastAsiaTheme="minorEastAsia" w:cstheme="minorEastAsia"/>
          <w:b w:val="0"/>
          <w:bCs w:val="0"/>
          <w:color w:val="auto"/>
          <w:sz w:val="24"/>
          <w:szCs w:val="24"/>
        </w:rPr>
        <w:t>，由单位分管</w:t>
      </w:r>
      <w:r>
        <w:rPr>
          <w:rFonts w:hint="eastAsia" w:asciiTheme="minorEastAsia" w:hAnsiTheme="minorEastAsia" w:eastAsiaTheme="minorEastAsia" w:cstheme="minorEastAsia"/>
          <w:b w:val="0"/>
          <w:bCs w:val="0"/>
          <w:color w:val="auto"/>
          <w:sz w:val="24"/>
          <w:szCs w:val="24"/>
          <w:lang w:eastAsia="zh-CN"/>
        </w:rPr>
        <w:t>局长</w:t>
      </w:r>
      <w:r>
        <w:rPr>
          <w:rFonts w:hint="eastAsia" w:asciiTheme="minorEastAsia" w:hAnsiTheme="minorEastAsia" w:eastAsiaTheme="minorEastAsia" w:cstheme="minorEastAsia"/>
          <w:b w:val="0"/>
          <w:bCs w:val="0"/>
          <w:color w:val="auto"/>
          <w:sz w:val="24"/>
          <w:szCs w:val="24"/>
        </w:rPr>
        <w:t>审批，</w:t>
      </w:r>
      <w:r>
        <w:rPr>
          <w:rFonts w:hint="eastAsia" w:asciiTheme="minorEastAsia" w:hAnsiTheme="minorEastAsia" w:eastAsiaTheme="minorEastAsia" w:cstheme="minorEastAsia"/>
          <w:b w:val="0"/>
          <w:bCs w:val="0"/>
          <w:color w:val="auto"/>
          <w:sz w:val="24"/>
          <w:szCs w:val="24"/>
          <w:lang w:eastAsia="zh-CN"/>
        </w:rPr>
        <w:t>办公室</w:t>
      </w:r>
      <w:r>
        <w:rPr>
          <w:rFonts w:hint="eastAsia" w:asciiTheme="minorEastAsia" w:hAnsiTheme="minorEastAsia" w:eastAsiaTheme="minorEastAsia" w:cstheme="minorEastAsia"/>
          <w:b w:val="0"/>
          <w:bCs w:val="0"/>
          <w:color w:val="auto"/>
          <w:sz w:val="24"/>
          <w:szCs w:val="24"/>
        </w:rPr>
        <w:t>备案；</w:t>
      </w:r>
      <w:r>
        <w:rPr>
          <w:rFonts w:hint="eastAsia" w:asciiTheme="minorEastAsia" w:hAnsiTheme="minorEastAsia" w:eastAsiaTheme="minorEastAsia" w:cstheme="minorEastAsia"/>
          <w:b w:val="0"/>
          <w:bCs w:val="0"/>
          <w:color w:val="auto"/>
          <w:sz w:val="24"/>
          <w:szCs w:val="24"/>
          <w:lang w:eastAsia="zh-CN"/>
        </w:rPr>
        <w:t>购买办公设备（固定资产）</w:t>
      </w:r>
      <w:r>
        <w:rPr>
          <w:rFonts w:hint="eastAsia" w:asciiTheme="minorEastAsia" w:hAnsiTheme="minorEastAsia" w:eastAsiaTheme="minorEastAsia" w:cstheme="minorEastAsia"/>
          <w:b w:val="0"/>
          <w:bCs w:val="0"/>
          <w:color w:val="auto"/>
          <w:sz w:val="24"/>
          <w:szCs w:val="24"/>
          <w:lang w:val="en-US" w:eastAsia="zh-CN"/>
        </w:rPr>
        <w:t>1000元以上的，报局办公室审批盖章。</w:t>
      </w:r>
    </w:p>
    <w:p w14:paraId="713551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第三章</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eastAsia="zh-CN"/>
        </w:rPr>
        <w:t>决策原则</w:t>
      </w:r>
    </w:p>
    <w:p w14:paraId="299020F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第七条 坚持集体领导、民主集中、个别酝酿、会议决定的原则。凡属职责范围内的“三重一大”事项，都应集体讨论决定，保证党的路线方针政策和决议、决定得到正确贯彻和执行。</w:t>
      </w:r>
    </w:p>
    <w:p w14:paraId="0EB275D8">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第八条 坚持集体领导和个人分工负责相结合的原则。党组成员尤其是主要领导应正确处理民主与集中的关系，充分发挥集体领导作用，实行分工负责制，确保权力正确行使。</w:t>
      </w:r>
    </w:p>
    <w:p w14:paraId="252D128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第九条 坚持科学、民主、依纪依法、集体决策的原则。要注重调查研究，尊重和反映客观规律，广泛听取各方面意见，自觉接受各方面的监督，要切实在宪法、法律和党内法规范围内开展决策活动，确保决策贴近实际，符合经济社会发展规律。</w:t>
      </w:r>
    </w:p>
    <w:p w14:paraId="0D332F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第四章 集体决策机构议事规则</w:t>
      </w:r>
    </w:p>
    <w:p w14:paraId="0825894C">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第十条 坚持规划先行。“三重一大”问题集体决策要有计划、有步骤的进行。除遇重大突发事件和紧急情况需作出临时处置外，不得在会上讨论临时动议议题。</w:t>
      </w:r>
    </w:p>
    <w:p w14:paraId="06FBEB1C">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第十一条 推行末位表态。认真贯彻民主集中制原则，充分听取与会人员意见，确保决策的科学化、民主化、制度化。在决策时要坚持“一把手”未位表态制度，如遇大事，党组成员要集体讨论，并广泛听取大家意见，少数服从多数。</w:t>
      </w:r>
    </w:p>
    <w:p w14:paraId="2D3891D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第十二条 深入开展调研。决策前要根据工作计划，做好调研、论证、相关法律咨询和必要的事前审计。</w:t>
      </w:r>
    </w:p>
    <w:p w14:paraId="51EC201A">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第十三条 实施痕迹化管理制度。“三重一大”事项决策的情况，包括决策参与人、决策事项、决策过程、决策结论、会议主持人、记录人等，要以会议记录等形式留下文字资料，并存档备查，要详细记录不同意见。</w:t>
      </w:r>
    </w:p>
    <w:p w14:paraId="7D37435E">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第十四条 如有重大议题、重要人事任免，党组会出席人数需达到应出席人数的三分之二，会议方可召开。</w:t>
      </w:r>
    </w:p>
    <w:p w14:paraId="533192F5">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第十五条 会议决定的事项，应明确落实科室、单位和责任人。</w:t>
      </w:r>
    </w:p>
    <w:p w14:paraId="7D28DA8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第十六条 实行保密原则。与会人员要严格遵守保密纪律，对会议研究的内容，未经批准传达或公布的，不得向外泄露。对会上的发言，特别是不同的意见，绝不能私下传播。</w:t>
      </w:r>
    </w:p>
    <w:p w14:paraId="43973F5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第五章 管理程序</w:t>
      </w:r>
    </w:p>
    <w:p w14:paraId="016A2FC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第十七条 会前准备阶段</w:t>
      </w:r>
    </w:p>
    <w:p w14:paraId="568E43C8">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1.会议议题由党组书记根据党组成员，职能科室的提议或因工作需要，在征求相关分管领导意见后提出，与党组其它成员进行沟通；</w:t>
      </w:r>
    </w:p>
    <w:p w14:paraId="780B7EEA">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2.会议准备由分管领导组织，由相关科室准备有关材料，包括方案和论证材料。对专业性、技术性较强的事项，分管领导应组织相关人员进行专家论证、技术咨询、决策评估，提出可供决策的意见或报告；</w:t>
      </w:r>
    </w:p>
    <w:p w14:paraId="420EFA46">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选拔任用干部，要按照《党政领导干部选拔任用条例》的相关规定，在民主推荐、考察的基础上，经党组书记与相关分管领导共同酝酿，并在一定范围内征求意见后向党组会提名，为党组会决定干部任免做准备；</w:t>
      </w:r>
    </w:p>
    <w:p w14:paraId="35163622">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4.党组会提前通知。应当提前1个工作日（临时性或紧急会议除外）将会议通知及有关材料送参加会议的人员。</w:t>
      </w:r>
    </w:p>
    <w:p w14:paraId="7E58F538">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第十八条 会中决策阶段</w:t>
      </w:r>
    </w:p>
    <w:p w14:paraId="1D22EBD2">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1.会议决策时，由党组书记主持。党组成员应对决策议题逐个明确表示同意、不同意或缓议的意见，并说明理由。因故未到会的党组成员可以书面形式表达意见；</w:t>
      </w:r>
    </w:p>
    <w:p w14:paraId="797E0745">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2.讨论重要事项时，到会人数必须超过应到会人数的三分之二，并采用票决制，表决人数超过三分之二以上同意的议案方可通过；</w:t>
      </w:r>
    </w:p>
    <w:p w14:paraId="0ACA9EA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3.讨论中意见分歧较大或者有重大问题尚不清楚时，除在紧急情况下按多数意见执行外，应暂缓决策，待进一步调查研究后再作决策；</w:t>
      </w:r>
    </w:p>
    <w:p w14:paraId="5D122D0C">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4.如遇工作需要，相关职能科室、纪检监察、相关负责人可列席会议。</w:t>
      </w:r>
    </w:p>
    <w:p w14:paraId="058C5208">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第十九条 会后执行阶段</w:t>
      </w:r>
    </w:p>
    <w:p w14:paraId="7B2B32C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1.“三重一大”事项经集体决策后，由党组成员按分工和职责分工具体组织实施；</w:t>
      </w:r>
    </w:p>
    <w:p w14:paraId="6129BF3F">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2.党组成员个人对决策有不同意见的，可以保留，但在没有作出新的决策前，应坚决无条件执行。同时，可按组织程序向上级组织反映意见；</w:t>
      </w:r>
    </w:p>
    <w:p w14:paraId="08368D26">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个人不得擅自改变集体决策，因情况发生变化需对决策进行重大调整或变更的，经党组会重新作出决策；如遇重大突发事件和紧急情况需作出临时处置的，必须向单位主要领导报告，事后及时向党组会报告并负责；未完成事项如需党组会重新作出决策的，经再次决策后，按新决策执行。</w:t>
      </w:r>
    </w:p>
    <w:p w14:paraId="7A2A01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第六章 监督检查</w:t>
      </w:r>
    </w:p>
    <w:p w14:paraId="08011CD1">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第二十条 党组成员应根据分工和职责及时向党组报告“三重一大”事项的执行情况，并将落实情况列入年度班子民主生活会和述职述廉的重要内容。</w:t>
      </w:r>
    </w:p>
    <w:p w14:paraId="01887C21">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第二十一条“三重一大”事项决策后的贯彻执行情况，由单位纪检监察部门或相关监督科室具体负责决策实施过程中的检查和督办。检查和督办情况及时向党组书记和党组报告。</w:t>
      </w:r>
    </w:p>
    <w:p w14:paraId="0FBDBB8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第二十二条 接受市委组织部、市纪委对本单位领导班子执行“三重一大”制度的监督检查。</w:t>
      </w:r>
    </w:p>
    <w:p w14:paraId="7DAB9748">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第二十三条对“三重一大”事项决策及执行情况，除按有关规定不便于公开外、应在单位公开栏和相关会议、文件中进行公开。</w:t>
      </w:r>
    </w:p>
    <w:p w14:paraId="0CB06533">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第二十四条 对未经党组集体决策就实施的“三重一大”事项，必须及时向党组书记和局纪检监察归口科室报告。</w:t>
      </w:r>
    </w:p>
    <w:p w14:paraId="4842E236">
      <w:pPr>
        <w:keepNext w:val="0"/>
        <w:keepLines w:val="0"/>
        <w:pageBreakBefore w:val="0"/>
        <w:widowControl w:val="0"/>
        <w:kinsoku/>
        <w:wordWrap/>
        <w:overflowPunct/>
        <w:topLinePunct w:val="0"/>
        <w:autoSpaceDE/>
        <w:autoSpaceDN/>
        <w:bidi w:val="0"/>
        <w:adjustRightInd/>
        <w:snapToGrid/>
        <w:spacing w:line="580" w:lineRule="exact"/>
        <w:ind w:left="0" w:firstLine="482" w:firstLineChars="20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第七章 责任追究</w:t>
      </w:r>
    </w:p>
    <w:p w14:paraId="3454F281">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第二十五条 具有下列行为之一的，将根据事实、性质和情节，依据《中国共产党纪律处分条例》、《行政机关公务员处分条例》、《关于实行党风廉政建设责任制的规定》等规定，追究有关责任者的责任。</w:t>
      </w:r>
    </w:p>
    <w:p w14:paraId="2E0BF148">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1.违反本决策程序规定的；</w:t>
      </w:r>
    </w:p>
    <w:p w14:paraId="04F6198F">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2.应提交决策的事项未提交或擅自改变集体决策的，擅自决定组织实施，事后又不通报的；</w:t>
      </w:r>
    </w:p>
    <w:p w14:paraId="2B28FE1E">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3.决策事项贯彻执行不力或者执行过程中主观上有过错造成重大影响的；</w:t>
      </w:r>
    </w:p>
    <w:p w14:paraId="60B13D9C">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4.提供不实或者虚假信息误导决策，造成决策失误的；</w:t>
      </w:r>
    </w:p>
    <w:p w14:paraId="1C45CB40">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5.违反保密纪律的。</w:t>
      </w:r>
    </w:p>
    <w:p w14:paraId="25505D24">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第二十六条 党组决策失误造成严重后果或者涉嫌违纪违法的，应在查明情况、分清责任的基础上，按照干部管理权限及时向上级部门报告，分别追究主要负责人、分管负责人和其它责任人的相应责任。</w:t>
      </w:r>
    </w:p>
    <w:p w14:paraId="6A973B05">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第二十七条 发生违反规定行为，情节轻微的，主要责任人和直接责人应当在党组会进行检查；情节较重并造成后果的，按照干部管理权限，由党组书记或上级党组织进行诫勉谈话；情节严重，给工作造成重大损失的，应给予组织处理；构成违纪违法的，移送纪检监察机关、司法机关处理。</w:t>
      </w:r>
    </w:p>
    <w:p w14:paraId="23F8098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第八章 附则</w:t>
      </w:r>
    </w:p>
    <w:p w14:paraId="6F69C002">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第二十八条 本《制度》所涉及内容，凡党和国家政策法规及上级文件另有规定的，从其规定。</w:t>
      </w:r>
    </w:p>
    <w:p w14:paraId="2EC32A7A">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第二十九条 本制度自发布之日起实施。</w:t>
      </w:r>
    </w:p>
    <w:p w14:paraId="6E7FE205">
      <w:pPr>
        <w:jc w:val="both"/>
        <w:rPr>
          <w:rFonts w:hint="eastAsia" w:asciiTheme="minorEastAsia" w:hAnsiTheme="minorEastAsia" w:eastAsiaTheme="minorEastAsia" w:cstheme="minorEastAsia"/>
          <w:b/>
          <w:bCs/>
          <w:color w:val="auto"/>
          <w:sz w:val="36"/>
          <w:szCs w:val="36"/>
          <w:shd w:val="clear" w:fill="FEFBF7"/>
        </w:rPr>
      </w:pPr>
      <w:r>
        <w:rPr>
          <w:rFonts w:hint="eastAsia" w:asciiTheme="minorEastAsia" w:hAnsiTheme="minorEastAsia" w:eastAsiaTheme="minorEastAsia" w:cstheme="minorEastAsia"/>
          <w:b/>
          <w:bCs/>
          <w:color w:val="auto"/>
          <w:sz w:val="36"/>
          <w:szCs w:val="36"/>
          <w:shd w:val="clear" w:fill="FEFBF7"/>
        </w:rPr>
        <w:br w:type="page"/>
      </w:r>
    </w:p>
    <w:p w14:paraId="7BEF5F06">
      <w:pPr>
        <w:pStyle w:val="3"/>
        <w:bidi w:val="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领导干部不允许插手工程项目和招投标制度</w:t>
      </w:r>
    </w:p>
    <w:p w14:paraId="09EA56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fill="FFFFFF"/>
          <w:lang w:val="en-US" w:eastAsia="zh-CN" w:bidi="ar"/>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第一条 为进一步规范领导干部廉洁从政行为，加强建设工程项目、政府招投标采购项目与经营等市场经济活动的监督管理，根据有关法律、法规的规定，结合白城市医疗保障局工作实际，制定本制度。</w:t>
      </w:r>
    </w:p>
    <w:p w14:paraId="61E222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fill="FFFFFF"/>
          <w:lang w:val="en-US" w:eastAsia="zh-CN" w:bidi="ar"/>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第二条 本规定所称违反规定干预和插手，是指领导干部违反法律、法规及其他政策性规定或者议事规则等，利用职权向相关部门采取暗示、授意、打招呼、批条子、指定、强令等方式，插手干预工程建设项目和政府招投标采购项目，影响正常市场经济活动的行为。</w:t>
      </w:r>
    </w:p>
    <w:p w14:paraId="2A191C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fill="FFFFFF"/>
          <w:lang w:val="en-US" w:eastAsia="zh-CN" w:bidi="ar"/>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第三条 严禁违规插手干预工程建设项目和政府招投标采购项目规划、审批、行政许可等事项。</w:t>
      </w:r>
    </w:p>
    <w:p w14:paraId="16E42C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第四条 严禁插手干预工程建设项目和政府招投标采购项目的招投标，将应当公开招标的项目违规变通为不招标或者实行邀请招标，通过假借标密工程、抢险救灾等特殊工程名义或分批分次、化整为零规避招标，或违规改变投标条件和技术参数，增设限制条件，排除其他投标人，为特定投标人入围、中标提供方便。</w:t>
      </w:r>
    </w:p>
    <w:p w14:paraId="5CFB1C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fill="FFFFFF"/>
          <w:lang w:val="en-US" w:eastAsia="zh-CN" w:bidi="ar"/>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第五条 严禁违规插手干预工程建设项目和政府招投标采购项目的资金拨付、结算，或通过插手干预、违反规定变更项目设计，抬高造价，造成低价中标、高价结算。</w:t>
      </w:r>
    </w:p>
    <w:p w14:paraId="595D4E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第六条 严禁插手干预工程建设项目和政府招投标采购项目中指定物资生产商、供应商，或违规指定招标代理机构并办理招标事宜，要求建设单位或两定单位使用指定的建筑材料和设备等。</w:t>
      </w:r>
    </w:p>
    <w:p w14:paraId="43224B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第七条 严禁违规插手干预工程建设项目和政府招投标采购项目验收，导致违反国家有关工程建设和政府采购项目方面的法律法规、规范标准进行验收，或将未经验收、验收不合格的工程建设项目和政府采购项目交付使用。</w:t>
      </w:r>
    </w:p>
    <w:p w14:paraId="5DF1C2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第八条 严禁利用职权或职务影响，通过插手干预工程建设项目和政府招投标采购项目，为自己亲属、身边工作人员、特定关系人承揽工程或中标采购项目，谋取不正当利益。</w:t>
      </w:r>
    </w:p>
    <w:p w14:paraId="629074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第九条 严禁违反规定以会议或者集体研究决定方式干预插手工程项目招投标和政府招投标采购项目工作。</w:t>
      </w:r>
    </w:p>
    <w:p w14:paraId="090770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fill="FFFFFF"/>
          <w:lang w:val="en-US" w:eastAsia="zh-CN" w:bidi="ar"/>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第十条 严禁其他违反规定插手干预工程项目招投标和政府招投标采购项目行为。</w:t>
      </w:r>
    </w:p>
    <w:p w14:paraId="3BDC6385">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fill="FFFFFF"/>
          <w:lang w:val="en-US" w:eastAsia="zh-CN" w:bidi="ar"/>
        </w:rPr>
        <w:t xml:space="preserve">第十一条 </w:t>
      </w:r>
      <w:r>
        <w:rPr>
          <w:rStyle w:val="18"/>
          <w:rFonts w:hint="eastAsia" w:asciiTheme="minorEastAsia" w:hAnsiTheme="minorEastAsia" w:eastAsiaTheme="minorEastAsia" w:cstheme="minorEastAsia"/>
          <w:b w:val="0"/>
          <w:bCs w:val="0"/>
          <w:color w:val="auto"/>
          <w:sz w:val="24"/>
          <w:szCs w:val="24"/>
        </w:rPr>
        <w:t>本制度自发布之日起实施。</w:t>
      </w:r>
    </w:p>
    <w:p w14:paraId="094492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964" w:firstLineChars="200"/>
        <w:jc w:val="both"/>
        <w:textAlignment w:val="auto"/>
        <w:rPr>
          <w:rFonts w:hint="eastAsia" w:asciiTheme="minorEastAsia" w:hAnsiTheme="minorEastAsia" w:eastAsiaTheme="minorEastAsia" w:cstheme="minorEastAsia"/>
          <w:b/>
          <w:bCs/>
          <w:color w:val="auto"/>
          <w:sz w:val="48"/>
          <w:szCs w:val="48"/>
          <w:lang w:eastAsia="zh-CN"/>
        </w:rPr>
      </w:pPr>
    </w:p>
    <w:p w14:paraId="6C7267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964" w:firstLineChars="200"/>
        <w:jc w:val="both"/>
        <w:textAlignment w:val="auto"/>
        <w:rPr>
          <w:rFonts w:hint="eastAsia" w:asciiTheme="minorEastAsia" w:hAnsiTheme="minorEastAsia" w:eastAsiaTheme="minorEastAsia" w:cstheme="minorEastAsia"/>
          <w:b/>
          <w:bCs/>
          <w:color w:val="auto"/>
          <w:sz w:val="48"/>
          <w:szCs w:val="48"/>
          <w:lang w:eastAsia="zh-CN"/>
        </w:rPr>
      </w:pPr>
    </w:p>
    <w:p w14:paraId="535DA8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964" w:firstLineChars="200"/>
        <w:jc w:val="both"/>
        <w:textAlignment w:val="auto"/>
        <w:rPr>
          <w:rFonts w:hint="eastAsia" w:asciiTheme="minorEastAsia" w:hAnsiTheme="minorEastAsia" w:eastAsiaTheme="minorEastAsia" w:cstheme="minorEastAsia"/>
          <w:b/>
          <w:bCs/>
          <w:color w:val="auto"/>
          <w:sz w:val="48"/>
          <w:szCs w:val="48"/>
          <w:lang w:eastAsia="zh-CN"/>
        </w:rPr>
      </w:pPr>
    </w:p>
    <w:p w14:paraId="39AEE5D3">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3C16567F">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088D1747">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12BF2583">
      <w:pPr>
        <w:jc w:val="both"/>
        <w:rPr>
          <w:rFonts w:hint="eastAsia" w:asciiTheme="minorEastAsia" w:hAnsiTheme="minorEastAsia" w:eastAsiaTheme="minorEastAsia" w:cstheme="minorEastAsia"/>
          <w:b/>
          <w:bCs/>
          <w:i w:val="0"/>
          <w:caps w:val="0"/>
          <w:color w:val="auto"/>
          <w:spacing w:val="0"/>
          <w:kern w:val="0"/>
          <w:sz w:val="36"/>
          <w:szCs w:val="36"/>
          <w:shd w:val="clear" w:fill="FFFFFF"/>
          <w:lang w:val="en-US" w:eastAsia="zh-CN" w:bidi="ar"/>
        </w:rPr>
      </w:pPr>
      <w:r>
        <w:rPr>
          <w:rFonts w:hint="eastAsia" w:asciiTheme="minorEastAsia" w:hAnsiTheme="minorEastAsia" w:eastAsiaTheme="minorEastAsia" w:cstheme="minorEastAsia"/>
          <w:b/>
          <w:bCs/>
          <w:i w:val="0"/>
          <w:caps w:val="0"/>
          <w:color w:val="auto"/>
          <w:spacing w:val="0"/>
          <w:kern w:val="0"/>
          <w:sz w:val="36"/>
          <w:szCs w:val="36"/>
          <w:shd w:val="clear" w:fill="FFFFFF"/>
          <w:lang w:val="en-US" w:eastAsia="zh-CN" w:bidi="ar"/>
        </w:rPr>
        <w:br w:type="page"/>
      </w:r>
    </w:p>
    <w:p w14:paraId="6567F44B">
      <w:pPr>
        <w:pStyle w:val="3"/>
        <w:bidi w:val="0"/>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人事管理制度</w:t>
      </w:r>
    </w:p>
    <w:p w14:paraId="464971F5">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2409" w:firstLineChars="1000"/>
        <w:jc w:val="both"/>
        <w:textAlignment w:val="auto"/>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t>第一章总 则</w:t>
      </w:r>
    </w:p>
    <w:p w14:paraId="7EC87EC7">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第一条 为规范白城市医疗保障局人事管理工作，根据国家、省、市有关人事管理政策，结合白城市医疗保障局工作实际，制定本制度。</w:t>
      </w:r>
    </w:p>
    <w:p w14:paraId="41CF64C9">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第二条 白城市医疗保障局人事管理工作要认真贯彻执行国家、省、市干部人事工作的路线、方针、政策，积极推进人事制度改革，形成富有生机活力的用人机制，建设一支结构合理、精干高效的干部队伍。</w:t>
      </w:r>
    </w:p>
    <w:p w14:paraId="787ABB6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2FFDDB0E">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left="0" w:firstLine="2168" w:firstLineChars="900"/>
        <w:jc w:val="both"/>
        <w:textAlignment w:val="auto"/>
        <w:rPr>
          <w:rFonts w:hint="eastAsia" w:asciiTheme="minorEastAsia" w:hAnsiTheme="minorEastAsia" w:eastAsiaTheme="minorEastAsia" w:cstheme="minorEastAsia"/>
          <w:b/>
          <w:bCs/>
          <w:i w:val="0"/>
          <w:caps w:val="0"/>
          <w:color w:val="auto"/>
          <w:spacing w:val="0"/>
          <w:sz w:val="24"/>
          <w:szCs w:val="24"/>
        </w:rPr>
      </w:pPr>
      <w:r>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t>第二章 人员调配</w:t>
      </w:r>
    </w:p>
    <w:p w14:paraId="00F4372A">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第三条 调入</w:t>
      </w:r>
    </w:p>
    <w:p w14:paraId="5021B452">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(一)人员调入坚持优化结构、提高素质，在编制内从严掌握、逐步补充的原则。</w:t>
      </w:r>
    </w:p>
    <w:p w14:paraId="006238B2">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二)局机关、局直属单位在编制内，确因工作需要从外单位调入工作人员，由用人单位提出书面申请，机关党总支审核，经分管领导同意，机关党总支对拟调入人员进行考察，报分管领导同意后，由局党组会议决定。</w:t>
      </w:r>
    </w:p>
    <w:p w14:paraId="012BD93C">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三)机关党总支根据市委组织部门每年的用人员计划情况，结合医疗保障局工作需要和编制情况，提出用人计划指标建议，经分管领导同意，由局党组会议决定后，报上级组织部门审批。对拟录用人员，由机关党总支进行考察，经分管领导同意，由局党组会议决定。</w:t>
      </w:r>
    </w:p>
    <w:p w14:paraId="1F7B2333">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(四)政策性接收安置人员，经局党组会议同意后，按上级有关规定办理。</w:t>
      </w:r>
    </w:p>
    <w:p w14:paraId="491D6E5E">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第四条 内部人员调整</w:t>
      </w:r>
    </w:p>
    <w:p w14:paraId="410AD3DE">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系统内人员调整，由局各科室、直属单位提出调整建议，机关党总支审核，并征得调入、调出的局各科室、直属单位和分管领导意见后，由党组会议决定。</w:t>
      </w:r>
    </w:p>
    <w:p w14:paraId="19FE0063">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第五条 借调</w:t>
      </w:r>
    </w:p>
    <w:p w14:paraId="74445B43">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需要借调人员的，由需要用人的局各科室、直属单位提出书面申请，机关党总支审核、考察，并征求借调人员所在单位的意见，报分管领导，由党组会议决定。有紧急突击性任务，经分管领导同意，由党组会议决定，可向局直属单位或相关单位临时借用工作人员。临时借用人员，不纳入借调人员管理。</w:t>
      </w:r>
    </w:p>
    <w:p w14:paraId="60F60342">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第六条 调出</w:t>
      </w:r>
    </w:p>
    <w:p w14:paraId="1AB2A081">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left="0" w:firstLine="42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调出人员须提前一个月写出书面申请，由局党组会议决定。</w:t>
      </w:r>
    </w:p>
    <w:p w14:paraId="3E6C40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2613B516">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left="0" w:firstLine="1446" w:firstLineChars="600"/>
        <w:jc w:val="both"/>
        <w:textAlignment w:val="auto"/>
        <w:rPr>
          <w:rFonts w:hint="eastAsia" w:asciiTheme="minorEastAsia" w:hAnsiTheme="minorEastAsia" w:eastAsiaTheme="minorEastAsia" w:cstheme="minorEastAsia"/>
          <w:b/>
          <w:bCs/>
          <w:i w:val="0"/>
          <w:caps w:val="0"/>
          <w:color w:val="auto"/>
          <w:spacing w:val="0"/>
          <w:sz w:val="24"/>
          <w:szCs w:val="24"/>
        </w:rPr>
      </w:pPr>
      <w:r>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t>第三章 职务(级)评定及晋升</w:t>
      </w:r>
    </w:p>
    <w:p w14:paraId="23842309">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第七条 干部职务(级)评定及晋升</w:t>
      </w:r>
    </w:p>
    <w:p w14:paraId="7DC37C9D">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除具备国家法律法规规定的</w:t>
      </w:r>
      <w:r>
        <w:rPr>
          <w:rFonts w:hint="eastAsia" w:asciiTheme="minorEastAsia" w:hAnsiTheme="minorEastAsia" w:eastAsiaTheme="minorEastAsia" w:cstheme="minorEastAsia"/>
          <w:b w:val="0"/>
          <w:bCs w:val="0"/>
          <w:color w:val="auto"/>
          <w:sz w:val="24"/>
          <w:szCs w:val="24"/>
        </w:rPr>
        <w:t>基本条件</w:t>
      </w:r>
      <w:r>
        <w:rPr>
          <w:rFonts w:hint="eastAsia" w:asciiTheme="minorEastAsia" w:hAnsiTheme="minorEastAsia" w:eastAsiaTheme="minorEastAsia" w:cstheme="minorEastAsia"/>
          <w:b w:val="0"/>
          <w:bCs w:val="0"/>
          <w:color w:val="auto"/>
          <w:sz w:val="24"/>
          <w:szCs w:val="24"/>
          <w:lang w:eastAsia="zh-CN"/>
        </w:rPr>
        <w:t>，同时还具备的</w:t>
      </w:r>
    </w:p>
    <w:p w14:paraId="379338D7">
      <w:pPr>
        <w:keepNext w:val="0"/>
        <w:keepLines w:val="0"/>
        <w:pageBreakBefore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基本资格</w:t>
      </w:r>
      <w:r>
        <w:rPr>
          <w:rFonts w:hint="eastAsia" w:asciiTheme="minorEastAsia" w:hAnsiTheme="minorEastAsia" w:eastAsiaTheme="minorEastAsia" w:cstheme="minorEastAsia"/>
          <w:b w:val="0"/>
          <w:bCs w:val="0"/>
          <w:color w:val="auto"/>
          <w:sz w:val="24"/>
          <w:szCs w:val="24"/>
          <w:lang w:eastAsia="zh-CN"/>
        </w:rPr>
        <w:t>是：</w:t>
      </w:r>
    </w:p>
    <w:p w14:paraId="26D5EC0B">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 晋升三级调研员，应当任县处级副职或者四级调研员2年以上；</w:t>
      </w:r>
    </w:p>
    <w:p w14:paraId="7948A6CC">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 晋升四级调研员，应当任一级主任科员2年以上；</w:t>
      </w:r>
    </w:p>
    <w:p w14:paraId="4FAB9C50">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 晋升一级主任科员，应当任乡科级正职或者二级主任科员2年以上；</w:t>
      </w:r>
    </w:p>
    <w:p w14:paraId="67981D04">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 晋升二级主任科员，应当任三级主任科员2年以上；</w:t>
      </w:r>
    </w:p>
    <w:p w14:paraId="0B4AB31C">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 晋升三级主任科员，应当任乡科级副职或者四级主任科员2年以上；</w:t>
      </w:r>
    </w:p>
    <w:p w14:paraId="79E9D622">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 晋升四级主任科员，应当任一级科员2年以上。</w:t>
      </w:r>
    </w:p>
    <w:p w14:paraId="70CBD0EA">
      <w:pPr>
        <w:keepNext w:val="0"/>
        <w:keepLines w:val="0"/>
        <w:pageBreakBefore w:val="0"/>
        <w:kinsoku/>
        <w:wordWrap/>
        <w:overflowPunct/>
        <w:topLinePunct w:val="0"/>
        <w:autoSpaceDE/>
        <w:autoSpaceDN/>
        <w:bidi w:val="0"/>
        <w:adjustRightInd/>
        <w:snapToGrid w:val="0"/>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公务员晋升职级所要求任职年限的年度考核结果均应为称职以上等次，每有1个年度考核结果为基本称职等次或者不定等次的，该年度不计算为晋升职级的任职年限；从2019年年度考核开始，公务员每有1个年度考核结果为优秀等次的，晋升职级所要求的任职年限缩短半年。</w:t>
      </w:r>
    </w:p>
    <w:p w14:paraId="47B931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536C2A7C">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left="0" w:firstLine="1928" w:firstLineChars="800"/>
        <w:jc w:val="both"/>
        <w:textAlignment w:val="auto"/>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t>第四章 辞职 辞退</w:t>
      </w:r>
    </w:p>
    <w:p w14:paraId="73F40B7B">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第八条 辞职</w:t>
      </w:r>
    </w:p>
    <w:p w14:paraId="57B6E0A0">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1.根据国家人事部有关规定，工作人员可以提出辞职。下列情况之一的人员，其辞职必须经过批准：</w:t>
      </w:r>
    </w:p>
    <w:p w14:paraId="3E4869E0">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局机关重要岗位的管理人员，在辞职后可能给工作造成损失的;从事国家机密工作，或曾从事国家机密工作，在规定的保密期内的;正在接受审查，尚未结案的;由单位公派，正在学习、进修的(不含分流培训人员);法律、法规、规章规定的其它情况。</w:t>
      </w:r>
    </w:p>
    <w:p w14:paraId="5986BA5B">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2.辞职人员须提出书面申请，机关党总支审核，经分管领导签署意见，由局党组会议批准。</w:t>
      </w:r>
    </w:p>
    <w:p w14:paraId="33B6E67F">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3.辞职人员不得私自带走属于局的各种成果、内部资料和设备器材，违者责令其赔偿经济损失，并视情节轻重给予行政处分。</w:t>
      </w:r>
    </w:p>
    <w:p w14:paraId="79185D74">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4.辞职的其它有关事宜，按照有关法律法规执行。</w:t>
      </w:r>
    </w:p>
    <w:p w14:paraId="42C9CE0D">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lang w:val="en-US" w:eastAsia="zh-CN"/>
        </w:rPr>
        <w:t>第九条 辞退</w:t>
      </w:r>
    </w:p>
    <w:p w14:paraId="4384E8FF">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1.根据国家人事部有关规定，局机关对有下列情况之一、经教育无效的职工，予以辞退：</w:t>
      </w:r>
    </w:p>
    <w:p w14:paraId="4A7371A4">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未完成工作任务，连续两年考核不合格(不称职)，又不服从组织另行安排或重新安排后仍不能完成工作任务的;单位进行撤并或缩减编制需要减员，本人拒绝组织安排的;无正当理由连续旷工时间超过十五天，或者一年内累计旷工时间超过三十天的;损害单位经济利益，造成严重后果以及严重违背职业道德，给单位造成极坏影响的;无理取闹、打架斗殴、恐吓威胁单位领导，严重影响工作秩序和社会秩序的;贪污、盗窃、赌博、营私舞弊，情节严重但不够刑事处分的;违犯工作规程或操作规程，发生责任事故，造成严重经济损失的;犯有其它严重错误的。</w:t>
      </w:r>
    </w:p>
    <w:p w14:paraId="71472B0A">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2.辞退人员，由机关党总支提出书面建议，报分管局领导签署意见后，由局党组会议决定。</w:t>
      </w:r>
    </w:p>
    <w:p w14:paraId="07FBAC9A">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24"/>
          <w:szCs w:val="24"/>
          <w:shd w:val="clear" w:fill="FFFFFF"/>
          <w:lang w:val="en-US" w:eastAsia="zh-CN" w:bidi="ar"/>
        </w:rPr>
        <w:t>3.辞退的其它有关事宜，按照有关法律法规执行。</w:t>
      </w:r>
    </w:p>
    <w:p w14:paraId="4CAB2E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7CF35ED6">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left="0" w:leftChars="0" w:right="0" w:rightChars="0" w:firstLine="0" w:firstLineChars="0"/>
        <w:jc w:val="center"/>
        <w:textAlignment w:val="auto"/>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caps w:val="0"/>
          <w:color w:val="auto"/>
          <w:spacing w:val="0"/>
          <w:kern w:val="0"/>
          <w:sz w:val="24"/>
          <w:szCs w:val="24"/>
          <w:shd w:val="clear" w:fill="FFFFFF"/>
          <w:lang w:val="en-US" w:eastAsia="zh-CN" w:bidi="ar"/>
        </w:rPr>
        <w:t>第五章 附则</w:t>
      </w:r>
    </w:p>
    <w:p w14:paraId="4768F68A">
      <w:pPr>
        <w:keepNext w:val="0"/>
        <w:keepLines w:val="0"/>
        <w:pageBreakBefore w:val="0"/>
        <w:widowControl/>
        <w:suppressLineNumbers w:val="0"/>
        <w:shd w:val="clear" w:fill="FFFFFF"/>
        <w:kinsoku/>
        <w:wordWrap/>
        <w:overflowPunct/>
        <w:topLinePunct w:val="0"/>
        <w:autoSpaceDE/>
        <w:autoSpaceDN/>
        <w:bidi w:val="0"/>
        <w:adjustRightInd/>
        <w:spacing w:afterAutospacing="0" w:line="580" w:lineRule="exact"/>
        <w:ind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rPr>
      </w:pPr>
      <w:r>
        <w:rPr>
          <w:rFonts w:hint="eastAsia" w:asciiTheme="minorEastAsia" w:hAnsiTheme="minorEastAsia" w:eastAsiaTheme="minorEastAsia" w:cstheme="minorEastAsia"/>
          <w:b w:val="0"/>
          <w:bCs w:val="0"/>
          <w:i w:val="0"/>
          <w:caps w:val="0"/>
          <w:color w:val="auto"/>
          <w:spacing w:val="0"/>
          <w:sz w:val="24"/>
          <w:szCs w:val="24"/>
          <w:lang w:val="en-US" w:eastAsia="zh-CN"/>
        </w:rPr>
        <w:t xml:space="preserve">第九条 </w:t>
      </w:r>
      <w:r>
        <w:rPr>
          <w:rStyle w:val="18"/>
          <w:rFonts w:hint="eastAsia" w:asciiTheme="minorEastAsia" w:hAnsiTheme="minorEastAsia" w:eastAsiaTheme="minorEastAsia" w:cstheme="minorEastAsia"/>
          <w:b w:val="0"/>
          <w:bCs w:val="0"/>
          <w:color w:val="auto"/>
          <w:sz w:val="24"/>
          <w:szCs w:val="24"/>
        </w:rPr>
        <w:t>本制度自发布之日起实施。</w:t>
      </w:r>
    </w:p>
    <w:p w14:paraId="4743F505">
      <w:pPr>
        <w:keepNext w:val="0"/>
        <w:keepLines w:val="0"/>
        <w:pageBreakBefore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b w:val="0"/>
          <w:bCs w:val="0"/>
          <w:color w:val="auto"/>
          <w:sz w:val="24"/>
          <w:szCs w:val="24"/>
        </w:rPr>
      </w:pPr>
    </w:p>
    <w:p w14:paraId="66F72953">
      <w:pPr>
        <w:pStyle w:val="2"/>
        <w:rPr>
          <w:rFonts w:hint="eastAsia" w:asciiTheme="minorEastAsia" w:hAnsiTheme="minorEastAsia" w:eastAsiaTheme="minorEastAsia" w:cstheme="minorEastAsia"/>
          <w:b w:val="0"/>
          <w:bCs w:val="0"/>
          <w:color w:val="auto"/>
          <w:sz w:val="24"/>
          <w:szCs w:val="24"/>
        </w:rPr>
      </w:pPr>
    </w:p>
    <w:p w14:paraId="60C6D9E0">
      <w:pPr>
        <w:rPr>
          <w:rFonts w:hint="eastAsia" w:asciiTheme="minorEastAsia" w:hAnsiTheme="minorEastAsia" w:eastAsiaTheme="minorEastAsia" w:cstheme="minorEastAsia"/>
          <w:b w:val="0"/>
          <w:bCs w:val="0"/>
          <w:color w:val="auto"/>
          <w:sz w:val="24"/>
          <w:szCs w:val="24"/>
        </w:rPr>
      </w:pPr>
    </w:p>
    <w:p w14:paraId="67781BCC">
      <w:pPr>
        <w:pStyle w:val="2"/>
        <w:rPr>
          <w:rFonts w:hint="eastAsia" w:asciiTheme="minorEastAsia" w:hAnsiTheme="minorEastAsia" w:eastAsiaTheme="minorEastAsia" w:cstheme="minorEastAsia"/>
          <w:b w:val="0"/>
          <w:bCs w:val="0"/>
          <w:color w:val="auto"/>
          <w:sz w:val="24"/>
          <w:szCs w:val="24"/>
        </w:rPr>
      </w:pPr>
    </w:p>
    <w:p w14:paraId="0AB01F67">
      <w:pPr>
        <w:rPr>
          <w:rFonts w:hint="eastAsia" w:asciiTheme="minorEastAsia" w:hAnsiTheme="minorEastAsia" w:eastAsiaTheme="minorEastAsia" w:cstheme="minorEastAsia"/>
          <w:b w:val="0"/>
          <w:bCs w:val="0"/>
          <w:color w:val="auto"/>
          <w:sz w:val="24"/>
          <w:szCs w:val="24"/>
        </w:rPr>
      </w:pPr>
    </w:p>
    <w:p w14:paraId="06E37AC0">
      <w:pPr>
        <w:pStyle w:val="2"/>
        <w:rPr>
          <w:rFonts w:hint="eastAsia" w:asciiTheme="minorEastAsia" w:hAnsiTheme="minorEastAsia" w:eastAsiaTheme="minorEastAsia" w:cstheme="minorEastAsia"/>
          <w:b w:val="0"/>
          <w:bCs w:val="0"/>
          <w:color w:val="auto"/>
          <w:sz w:val="24"/>
          <w:szCs w:val="24"/>
        </w:rPr>
      </w:pPr>
    </w:p>
    <w:p w14:paraId="4A00B5B5">
      <w:pPr>
        <w:rPr>
          <w:rFonts w:hint="eastAsia" w:asciiTheme="minorEastAsia" w:hAnsiTheme="minorEastAsia" w:eastAsiaTheme="minorEastAsia" w:cstheme="minorEastAsia"/>
          <w:b w:val="0"/>
          <w:bCs w:val="0"/>
          <w:color w:val="auto"/>
          <w:sz w:val="24"/>
          <w:szCs w:val="24"/>
        </w:rPr>
      </w:pPr>
    </w:p>
    <w:p w14:paraId="4341D544">
      <w:pPr>
        <w:pStyle w:val="2"/>
        <w:rPr>
          <w:rFonts w:hint="eastAsia" w:asciiTheme="minorEastAsia" w:hAnsiTheme="minorEastAsia" w:eastAsiaTheme="minorEastAsia" w:cstheme="minorEastAsia"/>
          <w:b w:val="0"/>
          <w:bCs w:val="0"/>
          <w:color w:val="auto"/>
          <w:sz w:val="24"/>
          <w:szCs w:val="24"/>
        </w:rPr>
      </w:pPr>
    </w:p>
    <w:p w14:paraId="129D49E9">
      <w:pPr>
        <w:rPr>
          <w:rFonts w:hint="eastAsia" w:asciiTheme="minorEastAsia" w:hAnsiTheme="minorEastAsia" w:eastAsiaTheme="minorEastAsia" w:cstheme="minorEastAsia"/>
          <w:b w:val="0"/>
          <w:bCs w:val="0"/>
          <w:color w:val="auto"/>
          <w:sz w:val="24"/>
          <w:szCs w:val="24"/>
        </w:rPr>
      </w:pPr>
    </w:p>
    <w:p w14:paraId="121E5E9C">
      <w:pPr>
        <w:pStyle w:val="2"/>
        <w:rPr>
          <w:rFonts w:hint="eastAsia" w:asciiTheme="minorEastAsia" w:hAnsiTheme="minorEastAsia" w:eastAsiaTheme="minorEastAsia" w:cstheme="minorEastAsia"/>
          <w:b w:val="0"/>
          <w:bCs w:val="0"/>
          <w:color w:val="auto"/>
          <w:sz w:val="24"/>
          <w:szCs w:val="24"/>
        </w:rPr>
      </w:pPr>
    </w:p>
    <w:p w14:paraId="2A5B32FA">
      <w:pPr>
        <w:pStyle w:val="2"/>
        <w:jc w:val="both"/>
        <w:rPr>
          <w:rFonts w:hint="eastAsia" w:asciiTheme="minorEastAsia" w:hAnsiTheme="minorEastAsia" w:eastAsiaTheme="minorEastAsia" w:cstheme="minorEastAsia"/>
          <w:b w:val="0"/>
          <w:bCs w:val="0"/>
          <w:color w:val="auto"/>
          <w:sz w:val="24"/>
          <w:szCs w:val="24"/>
        </w:rPr>
      </w:pPr>
    </w:p>
    <w:p w14:paraId="19DEE9E1">
      <w:pPr>
        <w:rPr>
          <w:rFonts w:hint="eastAsia"/>
        </w:rPr>
      </w:pPr>
    </w:p>
    <w:p w14:paraId="7BD5DBBC">
      <w:pPr>
        <w:pStyle w:val="3"/>
        <w:bidi w:val="0"/>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专业技术岗位聘用</w:t>
      </w:r>
      <w:r>
        <w:rPr>
          <w:rFonts w:hint="eastAsia" w:asciiTheme="minorEastAsia" w:hAnsiTheme="minorEastAsia" w:eastAsiaTheme="minorEastAsia" w:cstheme="minorEastAsia"/>
          <w:b/>
          <w:bCs/>
          <w:lang w:eastAsia="zh-CN"/>
        </w:rPr>
        <w:t>制度</w:t>
      </w:r>
    </w:p>
    <w:p w14:paraId="6AABE903">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为加强医疗保障系统专业技术人才队伍建设，规范专业技术人才聘用程序、完善专业技术人才聘用标准、提升专业技术人才聘用质量，进一步调动专业技术人才干事创业、担当作为的积极性和创造性，</w:t>
      </w:r>
      <w:r>
        <w:rPr>
          <w:rFonts w:hint="eastAsia" w:asciiTheme="minorEastAsia" w:hAnsiTheme="minorEastAsia" w:eastAsiaTheme="minorEastAsia" w:cstheme="minorEastAsia"/>
          <w:b w:val="0"/>
          <w:bCs w:val="0"/>
          <w:color w:val="auto"/>
          <w:sz w:val="24"/>
          <w:szCs w:val="24"/>
          <w:lang w:eastAsia="zh-CN"/>
        </w:rPr>
        <w:t>按照事业单位岗位设置</w:t>
      </w:r>
      <w:r>
        <w:rPr>
          <w:rFonts w:hint="eastAsia" w:asciiTheme="minorEastAsia" w:hAnsiTheme="minorEastAsia" w:eastAsiaTheme="minorEastAsia" w:cstheme="minorEastAsia"/>
          <w:b w:val="0"/>
          <w:bCs w:val="0"/>
          <w:color w:val="auto"/>
          <w:sz w:val="24"/>
          <w:szCs w:val="24"/>
          <w:lang w:val="en-US" w:eastAsia="zh-CN"/>
        </w:rPr>
        <w:t>有关</w:t>
      </w:r>
      <w:r>
        <w:rPr>
          <w:rFonts w:hint="eastAsia" w:asciiTheme="minorEastAsia" w:hAnsiTheme="minorEastAsia" w:eastAsiaTheme="minorEastAsia" w:cstheme="minorEastAsia"/>
          <w:b w:val="0"/>
          <w:bCs w:val="0"/>
          <w:color w:val="auto"/>
          <w:sz w:val="24"/>
          <w:szCs w:val="24"/>
          <w:lang w:eastAsia="zh-CN"/>
        </w:rPr>
        <w:t>文件要求，</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lang w:eastAsia="zh-CN"/>
        </w:rPr>
        <w:t>制定本制度。</w:t>
      </w:r>
    </w:p>
    <w:p w14:paraId="423C6413">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聘用原则</w:t>
      </w:r>
    </w:p>
    <w:p w14:paraId="1DDA6856">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总量控制原则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严格按照</w:t>
      </w:r>
      <w:r>
        <w:rPr>
          <w:rFonts w:hint="eastAsia" w:asciiTheme="minorEastAsia" w:hAnsiTheme="minorEastAsia" w:eastAsiaTheme="minorEastAsia" w:cstheme="minorEastAsia"/>
          <w:b w:val="0"/>
          <w:bCs w:val="0"/>
          <w:color w:val="auto"/>
          <w:sz w:val="24"/>
          <w:szCs w:val="24"/>
          <w:lang w:eastAsia="zh-CN"/>
        </w:rPr>
        <w:t>有关</w:t>
      </w:r>
      <w:r>
        <w:rPr>
          <w:rFonts w:hint="eastAsia" w:asciiTheme="minorEastAsia" w:hAnsiTheme="minorEastAsia" w:eastAsiaTheme="minorEastAsia" w:cstheme="minorEastAsia"/>
          <w:b w:val="0"/>
          <w:bCs w:val="0"/>
          <w:color w:val="auto"/>
          <w:sz w:val="24"/>
          <w:szCs w:val="24"/>
        </w:rPr>
        <w:t>文件核准的各类岗位职数、比例结构和最高等级限额，确定具体等级和具体岗位的相关聘用人员。</w:t>
      </w:r>
    </w:p>
    <w:p w14:paraId="20063686">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公正、公平、公开原则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岗位聘用工作必须严格执行公正、公平、公开的原则，聘用工作</w:t>
      </w:r>
      <w:r>
        <w:rPr>
          <w:rFonts w:hint="eastAsia" w:asciiTheme="minorEastAsia" w:hAnsiTheme="minorEastAsia" w:eastAsiaTheme="minorEastAsia" w:cstheme="minorEastAsia"/>
          <w:b w:val="0"/>
          <w:bCs w:val="0"/>
          <w:color w:val="auto"/>
          <w:sz w:val="24"/>
          <w:szCs w:val="24"/>
          <w:lang w:eastAsia="zh-CN"/>
        </w:rPr>
        <w:t>按照</w:t>
      </w:r>
      <w:r>
        <w:rPr>
          <w:rFonts w:hint="eastAsia" w:asciiTheme="minorEastAsia" w:hAnsiTheme="minorEastAsia" w:eastAsiaTheme="minorEastAsia" w:cstheme="minorEastAsia"/>
          <w:b w:val="0"/>
          <w:bCs w:val="0"/>
          <w:color w:val="auto"/>
          <w:sz w:val="24"/>
          <w:szCs w:val="24"/>
        </w:rPr>
        <w:t>岗位等级条件、人员信息、聘用结果“三公开”。</w:t>
      </w:r>
    </w:p>
    <w:p w14:paraId="2F74546C">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择优聘用原则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岗位聘用工作必须严格执行重能力、重业绩、重贡献的原则，从本单位岗位设置和人员组成的实际出发，全面衡量每位</w:t>
      </w:r>
      <w:r>
        <w:rPr>
          <w:rFonts w:hint="eastAsia" w:asciiTheme="minorEastAsia" w:hAnsiTheme="minorEastAsia" w:eastAsiaTheme="minorEastAsia" w:cstheme="minorEastAsia"/>
          <w:b w:val="0"/>
          <w:bCs w:val="0"/>
          <w:color w:val="auto"/>
          <w:sz w:val="24"/>
          <w:szCs w:val="24"/>
          <w:lang w:eastAsia="zh-CN"/>
        </w:rPr>
        <w:t>专业技术人员</w:t>
      </w:r>
      <w:r>
        <w:rPr>
          <w:rFonts w:hint="eastAsia" w:asciiTheme="minorEastAsia" w:hAnsiTheme="minorEastAsia" w:eastAsiaTheme="minorEastAsia" w:cstheme="minorEastAsia"/>
          <w:b w:val="0"/>
          <w:bCs w:val="0"/>
          <w:color w:val="auto"/>
          <w:sz w:val="24"/>
          <w:szCs w:val="24"/>
        </w:rPr>
        <w:t>任现职期间的工作性质、工作态度、工作能力、取得的业绩和做出的贡献等综合因素，参考个人申报等级进行量化，切实使德才兼备、能力卓越、业绩突出的人员得到重用，达到充分调动全体职工的积极性、创造性和工作热情，促</w:t>
      </w:r>
      <w:r>
        <w:rPr>
          <w:rFonts w:hint="eastAsia" w:asciiTheme="minorEastAsia" w:hAnsiTheme="minorEastAsia" w:eastAsiaTheme="minorEastAsia" w:cstheme="minorEastAsia"/>
          <w:b w:val="0"/>
          <w:bCs w:val="0"/>
          <w:color w:val="auto"/>
          <w:sz w:val="24"/>
          <w:szCs w:val="24"/>
          <w:lang w:eastAsia="zh-CN"/>
        </w:rPr>
        <w:t>医疗保障</w:t>
      </w:r>
      <w:r>
        <w:rPr>
          <w:rFonts w:hint="eastAsia" w:asciiTheme="minorEastAsia" w:hAnsiTheme="minorEastAsia" w:eastAsiaTheme="minorEastAsia" w:cstheme="minorEastAsia"/>
          <w:b w:val="0"/>
          <w:bCs w:val="0"/>
          <w:color w:val="auto"/>
          <w:sz w:val="24"/>
          <w:szCs w:val="24"/>
        </w:rPr>
        <w:t>事业和单位的发展的目标。</w:t>
      </w:r>
    </w:p>
    <w:p w14:paraId="4033CC4F">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聘用人员范围                                                                                     </w:t>
      </w:r>
    </w:p>
    <w:p w14:paraId="34FDF09D">
      <w:pPr>
        <w:keepNext w:val="0"/>
        <w:keepLines w:val="0"/>
        <w:pageBreakBefore w:val="0"/>
        <w:numPr>
          <w:ilvl w:val="0"/>
          <w:numId w:val="0"/>
        </w:numPr>
        <w:tabs>
          <w:tab w:val="left" w:pos="1800"/>
        </w:tabs>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本单位新核定的岗位均在现有在职在册的正式职工中聘用。</w:t>
      </w:r>
    </w:p>
    <w:p w14:paraId="6EB69466">
      <w:pPr>
        <w:keepNext w:val="0"/>
        <w:keepLines w:val="0"/>
        <w:pageBreakBefore w:val="0"/>
        <w:numPr>
          <w:ilvl w:val="0"/>
          <w:numId w:val="0"/>
        </w:numPr>
        <w:tabs>
          <w:tab w:val="left" w:pos="1200"/>
        </w:tabs>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岗位聘</w:t>
      </w:r>
      <w:r>
        <w:rPr>
          <w:rFonts w:hint="eastAsia" w:asciiTheme="minorEastAsia" w:hAnsiTheme="minorEastAsia" w:eastAsiaTheme="minorEastAsia" w:cstheme="minorEastAsia"/>
          <w:b w:val="0"/>
          <w:bCs w:val="0"/>
          <w:color w:val="auto"/>
          <w:sz w:val="24"/>
          <w:szCs w:val="24"/>
          <w:lang w:eastAsia="zh-CN"/>
        </w:rPr>
        <w:t>任</w:t>
      </w:r>
      <w:r>
        <w:rPr>
          <w:rFonts w:hint="eastAsia" w:asciiTheme="minorEastAsia" w:hAnsiTheme="minorEastAsia" w:eastAsiaTheme="minorEastAsia" w:cstheme="minorEastAsia"/>
          <w:b w:val="0"/>
          <w:bCs w:val="0"/>
          <w:color w:val="auto"/>
          <w:sz w:val="24"/>
          <w:szCs w:val="24"/>
        </w:rPr>
        <w:t>条件</w:t>
      </w:r>
    </w:p>
    <w:p w14:paraId="3959AEB7">
      <w:pPr>
        <w:keepNext w:val="0"/>
        <w:keepLines w:val="0"/>
        <w:pageBreakBefore w:val="0"/>
        <w:numPr>
          <w:ilvl w:val="0"/>
          <w:numId w:val="0"/>
        </w:numPr>
        <w:tabs>
          <w:tab w:val="left" w:pos="1200"/>
        </w:tabs>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基本条件</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所有参聘人员必需具备以下条件</w:t>
      </w:r>
      <w:r>
        <w:rPr>
          <w:rFonts w:hint="eastAsia" w:asciiTheme="minorEastAsia" w:hAnsiTheme="minorEastAsia" w:eastAsiaTheme="minorEastAsia" w:cstheme="minorEastAsia"/>
          <w:b w:val="0"/>
          <w:bCs w:val="0"/>
          <w:color w:val="auto"/>
          <w:sz w:val="24"/>
          <w:szCs w:val="24"/>
          <w:lang w:eastAsia="zh-CN"/>
        </w:rPr>
        <w:t>：</w:t>
      </w:r>
    </w:p>
    <w:p w14:paraId="630B0BCE">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遵守宪法和法律</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具有良好品行</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具备岗位所需的专业能力或技能条件</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适应岗位要求</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近三年内考核为合格以上。</w:t>
      </w:r>
    </w:p>
    <w:p w14:paraId="457F8D0F">
      <w:pPr>
        <w:keepNext w:val="0"/>
        <w:keepLines w:val="0"/>
        <w:pageBreakBefore w:val="0"/>
        <w:tabs>
          <w:tab w:val="left" w:pos="690"/>
        </w:tabs>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必须具备的</w:t>
      </w:r>
      <w:r>
        <w:rPr>
          <w:rFonts w:hint="eastAsia" w:asciiTheme="minorEastAsia" w:hAnsiTheme="minorEastAsia" w:eastAsiaTheme="minorEastAsia" w:cstheme="minorEastAsia"/>
          <w:b w:val="0"/>
          <w:bCs w:val="0"/>
          <w:color w:val="auto"/>
          <w:sz w:val="24"/>
          <w:szCs w:val="24"/>
        </w:rPr>
        <w:t>基本条件</w:t>
      </w:r>
    </w:p>
    <w:p w14:paraId="2B636290">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根据《吉林省事业单位岗位设置管理实施意见（试行）》（吉人联字</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2009</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25号）规定，事业单位专业技术岗位任职条件除国家和省文件规定</w:t>
      </w:r>
      <w:r>
        <w:rPr>
          <w:rFonts w:hint="eastAsia" w:asciiTheme="minorEastAsia" w:hAnsiTheme="minorEastAsia" w:eastAsiaTheme="minorEastAsia" w:cstheme="minorEastAsia"/>
          <w:b w:val="0"/>
          <w:bCs w:val="0"/>
          <w:color w:val="auto"/>
          <w:sz w:val="24"/>
          <w:szCs w:val="24"/>
          <w:lang w:eastAsia="zh-CN"/>
        </w:rPr>
        <w:t>的</w:t>
      </w:r>
      <w:r>
        <w:rPr>
          <w:rFonts w:hint="eastAsia" w:asciiTheme="minorEastAsia" w:hAnsiTheme="minorEastAsia" w:eastAsiaTheme="minorEastAsia" w:cstheme="minorEastAsia"/>
          <w:b w:val="0"/>
          <w:bCs w:val="0"/>
          <w:color w:val="auto"/>
          <w:sz w:val="24"/>
          <w:szCs w:val="24"/>
        </w:rPr>
        <w:t>副高级、中级、初级基本条件外，还应具备相应的岗位任职时间。聘用到5级专业岗位需任6级满2年；聘用到6级专业岗位需任7级满</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年</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聘用到</w:t>
      </w: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级专业岗位需任</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级满2年；聘用到</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级专业岗位需任</w:t>
      </w: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级满2年；聘用到</w:t>
      </w:r>
      <w:r>
        <w:rPr>
          <w:rFonts w:hint="eastAsia" w:asciiTheme="minorEastAsia" w:hAnsiTheme="minorEastAsia" w:eastAsiaTheme="minorEastAsia" w:cstheme="minorEastAsia"/>
          <w:b w:val="0"/>
          <w:bCs w:val="0"/>
          <w:color w:val="auto"/>
          <w:sz w:val="24"/>
          <w:szCs w:val="24"/>
          <w:lang w:val="en-US" w:eastAsia="zh-CN"/>
        </w:rPr>
        <w:t>11</w:t>
      </w:r>
      <w:r>
        <w:rPr>
          <w:rFonts w:hint="eastAsia" w:asciiTheme="minorEastAsia" w:hAnsiTheme="minorEastAsia" w:eastAsiaTheme="minorEastAsia" w:cstheme="minorEastAsia"/>
          <w:b w:val="0"/>
          <w:bCs w:val="0"/>
          <w:color w:val="auto"/>
          <w:sz w:val="24"/>
          <w:szCs w:val="24"/>
        </w:rPr>
        <w:t>级专业岗位需任</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级满</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年</w:t>
      </w:r>
      <w:r>
        <w:rPr>
          <w:rFonts w:hint="eastAsia" w:asciiTheme="minorEastAsia" w:hAnsiTheme="minorEastAsia" w:eastAsiaTheme="minorEastAsia" w:cstheme="minorEastAsia"/>
          <w:b w:val="0"/>
          <w:bCs w:val="0"/>
          <w:color w:val="auto"/>
          <w:sz w:val="24"/>
          <w:szCs w:val="24"/>
          <w:lang w:eastAsia="zh-CN"/>
        </w:rPr>
        <w:t>。</w:t>
      </w:r>
    </w:p>
    <w:p w14:paraId="21C83DA0">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有下列情形之一者低聘或不聘</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一年中请病假、事假累计超过三个月以上的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不履行或不能履行岗位职责的</w:t>
      </w:r>
      <w:r>
        <w:rPr>
          <w:rFonts w:hint="eastAsia" w:asciiTheme="minorEastAsia" w:hAnsiTheme="minorEastAsia" w:eastAsiaTheme="minorEastAsia" w:cstheme="minorEastAsia"/>
          <w:b w:val="0"/>
          <w:bCs w:val="0"/>
          <w:color w:val="auto"/>
          <w:sz w:val="24"/>
          <w:szCs w:val="24"/>
          <w:lang w:eastAsia="zh-CN"/>
        </w:rPr>
        <w:t>，</w:t>
      </w:r>
    </w:p>
    <w:p w14:paraId="32C76228">
      <w:pPr>
        <w:keepNext w:val="0"/>
        <w:keepLines w:val="0"/>
        <w:pageBreakBefore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年度考核不合格的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严重失职、渎职的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违反工作纪律或单位规章制度的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为满足聘用条件弄虚作假的，按应聘档次再降一档聘用。</w:t>
      </w:r>
    </w:p>
    <w:p w14:paraId="7A0775ED">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聘用方法</w:t>
      </w:r>
    </w:p>
    <w:p w14:paraId="1BA3FBA9">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现已聘任在岗的人员继续聘用。</w:t>
      </w:r>
    </w:p>
    <w:p w14:paraId="6D7DE7B4">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省级有突出贡献的中青年专家优先聘用。</w:t>
      </w:r>
    </w:p>
    <w:p w14:paraId="348D7890">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专业技术人员</w:t>
      </w:r>
      <w:r>
        <w:rPr>
          <w:rFonts w:hint="eastAsia" w:asciiTheme="minorEastAsia" w:hAnsiTheme="minorEastAsia" w:eastAsiaTheme="minorEastAsia" w:cstheme="minorEastAsia"/>
          <w:b w:val="0"/>
          <w:bCs w:val="0"/>
          <w:color w:val="auto"/>
          <w:sz w:val="24"/>
          <w:szCs w:val="24"/>
        </w:rPr>
        <w:t>聘用期满，</w:t>
      </w:r>
      <w:r>
        <w:rPr>
          <w:rFonts w:hint="eastAsia" w:asciiTheme="minorEastAsia" w:hAnsiTheme="minorEastAsia" w:eastAsiaTheme="minorEastAsia" w:cstheme="minorEastAsia"/>
          <w:b w:val="0"/>
          <w:bCs w:val="0"/>
          <w:color w:val="auto"/>
          <w:sz w:val="24"/>
          <w:szCs w:val="24"/>
          <w:lang w:eastAsia="zh-CN"/>
        </w:rPr>
        <w:t>上一岗位有空缺，如没有出现岗位竞争，满足岗位聘用基本条件的，可自然晋级，聘用到上一级专业技术岗位。</w:t>
      </w:r>
      <w:r>
        <w:rPr>
          <w:rFonts w:hint="eastAsia" w:asciiTheme="minorEastAsia" w:hAnsiTheme="minorEastAsia" w:eastAsiaTheme="minorEastAsia" w:cstheme="minorEastAsia"/>
          <w:b w:val="0"/>
          <w:bCs w:val="0"/>
          <w:color w:val="auto"/>
          <w:sz w:val="24"/>
          <w:szCs w:val="24"/>
        </w:rPr>
        <w:t>出现岗位空缺或新设岗位的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符合</w:t>
      </w:r>
      <w:r>
        <w:rPr>
          <w:rFonts w:hint="eastAsia" w:asciiTheme="minorEastAsia" w:hAnsiTheme="minorEastAsia" w:eastAsiaTheme="minorEastAsia" w:cstheme="minorEastAsia"/>
          <w:b w:val="0"/>
          <w:bCs w:val="0"/>
          <w:color w:val="auto"/>
          <w:sz w:val="24"/>
          <w:szCs w:val="24"/>
          <w:lang w:eastAsia="zh-CN"/>
        </w:rPr>
        <w:t>专业技术</w:t>
      </w:r>
      <w:r>
        <w:rPr>
          <w:rFonts w:hint="eastAsia" w:asciiTheme="minorEastAsia" w:hAnsiTheme="minorEastAsia" w:eastAsiaTheme="minorEastAsia" w:cstheme="minorEastAsia"/>
          <w:b w:val="0"/>
          <w:bCs w:val="0"/>
          <w:color w:val="auto"/>
          <w:sz w:val="24"/>
          <w:szCs w:val="24"/>
        </w:rPr>
        <w:t>岗位条件人员多于岗位职数</w:t>
      </w:r>
      <w:r>
        <w:rPr>
          <w:rFonts w:hint="eastAsia" w:asciiTheme="minorEastAsia" w:hAnsiTheme="minorEastAsia" w:eastAsiaTheme="minorEastAsia" w:cstheme="minorEastAsia"/>
          <w:b w:val="0"/>
          <w:bCs w:val="0"/>
          <w:color w:val="auto"/>
          <w:sz w:val="24"/>
          <w:szCs w:val="24"/>
          <w:lang w:eastAsia="zh-CN"/>
        </w:rPr>
        <w:t>的，要参与</w:t>
      </w:r>
      <w:r>
        <w:rPr>
          <w:rFonts w:hint="eastAsia" w:asciiTheme="minorEastAsia" w:hAnsiTheme="minorEastAsia" w:eastAsiaTheme="minorEastAsia" w:cstheme="minorEastAsia"/>
          <w:b w:val="0"/>
          <w:bCs w:val="0"/>
          <w:color w:val="auto"/>
          <w:sz w:val="24"/>
          <w:szCs w:val="24"/>
        </w:rPr>
        <w:t>专业技术人员业绩积分测评</w:t>
      </w:r>
      <w:r>
        <w:rPr>
          <w:rFonts w:hint="eastAsia" w:asciiTheme="minorEastAsia" w:hAnsiTheme="minorEastAsia" w:eastAsiaTheme="minorEastAsia" w:cstheme="minorEastAsia"/>
          <w:b w:val="0"/>
          <w:bCs w:val="0"/>
          <w:color w:val="auto"/>
          <w:sz w:val="24"/>
          <w:szCs w:val="24"/>
          <w:lang w:eastAsia="zh-CN"/>
        </w:rPr>
        <w:t>，择优聘用，</w:t>
      </w:r>
      <w:r>
        <w:rPr>
          <w:rFonts w:hint="eastAsia" w:asciiTheme="minorEastAsia" w:hAnsiTheme="minorEastAsia" w:eastAsiaTheme="minorEastAsia" w:cstheme="minorEastAsia"/>
          <w:b w:val="0"/>
          <w:bCs w:val="0"/>
          <w:color w:val="auto"/>
          <w:sz w:val="24"/>
          <w:szCs w:val="24"/>
        </w:rPr>
        <w:t>按得分由多到少排列</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根据岗位名额由高分</w:t>
      </w:r>
      <w:r>
        <w:rPr>
          <w:rFonts w:hint="eastAsia" w:asciiTheme="minorEastAsia" w:hAnsiTheme="minorEastAsia" w:eastAsiaTheme="minorEastAsia" w:cstheme="minorEastAsia"/>
          <w:b w:val="0"/>
          <w:bCs w:val="0"/>
          <w:color w:val="auto"/>
          <w:sz w:val="24"/>
          <w:szCs w:val="24"/>
          <w:lang w:eastAsia="zh-CN"/>
        </w:rPr>
        <w:t>到低分依</w:t>
      </w:r>
      <w:r>
        <w:rPr>
          <w:rFonts w:hint="eastAsia" w:asciiTheme="minorEastAsia" w:hAnsiTheme="minorEastAsia" w:eastAsiaTheme="minorEastAsia" w:cstheme="minorEastAsia"/>
          <w:b w:val="0"/>
          <w:bCs w:val="0"/>
          <w:color w:val="auto"/>
          <w:sz w:val="24"/>
          <w:szCs w:val="24"/>
        </w:rPr>
        <w:t>次确定聘任人员。</w:t>
      </w:r>
    </w:p>
    <w:p w14:paraId="1AB08233">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聘任工作按照副高级、中级、初级由高到低的顺序进行。已经取得任职资格、但未被聘用到相应岗位的人员，可优先聘用到下一级岗位（下一级别最高岗位满员后，优先聘用到再下一级岗位）。</w:t>
      </w:r>
    </w:p>
    <w:p w14:paraId="217F4E90">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专业技术人员业绩积分测评办法</w:t>
      </w:r>
    </w:p>
    <w:p w14:paraId="21CE5B59">
      <w:pPr>
        <w:keepNext w:val="0"/>
        <w:keepLines w:val="0"/>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专业技术人员业绩积分是在全面考虑各专业技术岗位取得各种技术成果</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对各技术成果的价值进行量化而计算出的累计值，所涉及的技术成果包括专业技术人员在现任期间获得的各级科技进步奖、技术成果推广奖、论文、著作和现从事的技术工作情况</w:t>
      </w:r>
      <w:r>
        <w:rPr>
          <w:rFonts w:hint="eastAsia" w:asciiTheme="minorEastAsia" w:hAnsiTheme="minorEastAsia" w:eastAsiaTheme="minorEastAsia" w:cstheme="minorEastAsia"/>
          <w:b w:val="0"/>
          <w:bCs w:val="0"/>
          <w:color w:val="auto"/>
          <w:sz w:val="24"/>
          <w:szCs w:val="24"/>
          <w:lang w:eastAsia="zh-CN"/>
        </w:rPr>
        <w:t>，以及</w:t>
      </w:r>
      <w:r>
        <w:rPr>
          <w:rFonts w:hint="eastAsia" w:asciiTheme="minorEastAsia" w:hAnsiTheme="minorEastAsia" w:eastAsiaTheme="minorEastAsia" w:cstheme="minorEastAsia"/>
          <w:b w:val="0"/>
          <w:bCs w:val="0"/>
          <w:color w:val="auto"/>
          <w:sz w:val="24"/>
          <w:szCs w:val="24"/>
        </w:rPr>
        <w:t>对单位发展的贡献等。针对各种技术成果设定的具体分值参见表1—</w:t>
      </w: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w:t>
      </w:r>
    </w:p>
    <w:p w14:paraId="1646EF7E">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表1学术论文分值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768"/>
        <w:gridCol w:w="1605"/>
        <w:gridCol w:w="1470"/>
        <w:gridCol w:w="1200"/>
        <w:gridCol w:w="1746"/>
      </w:tblGrid>
      <w:tr w14:paraId="20D5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2768" w:type="dxa"/>
            <w:vMerge w:val="restart"/>
            <w:noWrap w:val="0"/>
            <w:vAlign w:val="center"/>
          </w:tcPr>
          <w:p w14:paraId="2E24C4F5">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分类</w:t>
            </w:r>
          </w:p>
        </w:tc>
        <w:tc>
          <w:tcPr>
            <w:tcW w:w="4275" w:type="dxa"/>
            <w:gridSpan w:val="3"/>
            <w:noWrap w:val="0"/>
            <w:vAlign w:val="center"/>
          </w:tcPr>
          <w:p w14:paraId="2658067E">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单位成果业绩分值</w:t>
            </w:r>
          </w:p>
        </w:tc>
        <w:tc>
          <w:tcPr>
            <w:tcW w:w="1746" w:type="dxa"/>
            <w:vMerge w:val="restart"/>
            <w:noWrap w:val="0"/>
            <w:vAlign w:val="center"/>
          </w:tcPr>
          <w:p w14:paraId="26DE1FFE">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备注</w:t>
            </w:r>
          </w:p>
        </w:tc>
      </w:tr>
      <w:tr w14:paraId="2576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2768" w:type="dxa"/>
            <w:vMerge w:val="continue"/>
            <w:noWrap w:val="0"/>
            <w:vAlign w:val="center"/>
          </w:tcPr>
          <w:p w14:paraId="41B2AC9C">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tc>
        <w:tc>
          <w:tcPr>
            <w:tcW w:w="1605" w:type="dxa"/>
            <w:noWrap w:val="0"/>
            <w:vAlign w:val="center"/>
          </w:tcPr>
          <w:p w14:paraId="51B664BF">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第一作者</w:t>
            </w:r>
          </w:p>
        </w:tc>
        <w:tc>
          <w:tcPr>
            <w:tcW w:w="1470" w:type="dxa"/>
            <w:noWrap w:val="0"/>
            <w:vAlign w:val="center"/>
          </w:tcPr>
          <w:p w14:paraId="5F170B74">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第二、三作者</w:t>
            </w:r>
          </w:p>
        </w:tc>
        <w:tc>
          <w:tcPr>
            <w:tcW w:w="1200" w:type="dxa"/>
            <w:noWrap w:val="0"/>
            <w:vAlign w:val="center"/>
          </w:tcPr>
          <w:p w14:paraId="1A930390">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其它作者</w:t>
            </w:r>
          </w:p>
        </w:tc>
        <w:tc>
          <w:tcPr>
            <w:tcW w:w="1746" w:type="dxa"/>
            <w:vMerge w:val="continue"/>
            <w:noWrap w:val="0"/>
            <w:vAlign w:val="center"/>
          </w:tcPr>
          <w:p w14:paraId="5596E528">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tc>
      </w:tr>
      <w:tr w14:paraId="6E03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exact"/>
          <w:jc w:val="center"/>
        </w:trPr>
        <w:tc>
          <w:tcPr>
            <w:tcW w:w="2768" w:type="dxa"/>
            <w:noWrap w:val="0"/>
            <w:vAlign w:val="center"/>
          </w:tcPr>
          <w:p w14:paraId="1350BDF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国家级核心期刊</w:t>
            </w:r>
          </w:p>
        </w:tc>
        <w:tc>
          <w:tcPr>
            <w:tcW w:w="1605" w:type="dxa"/>
            <w:noWrap w:val="0"/>
            <w:vAlign w:val="center"/>
          </w:tcPr>
          <w:p w14:paraId="5095610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1470" w:type="dxa"/>
            <w:noWrap w:val="0"/>
            <w:vAlign w:val="center"/>
          </w:tcPr>
          <w:p w14:paraId="67385B4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1200" w:type="dxa"/>
            <w:noWrap w:val="0"/>
            <w:vAlign w:val="center"/>
          </w:tcPr>
          <w:p w14:paraId="383B038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46" w:type="dxa"/>
            <w:noWrap w:val="0"/>
            <w:vAlign w:val="center"/>
          </w:tcPr>
          <w:p w14:paraId="0C2F00B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正式发表</w:t>
            </w:r>
          </w:p>
        </w:tc>
      </w:tr>
      <w:tr w14:paraId="17A8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exact"/>
          <w:jc w:val="center"/>
        </w:trPr>
        <w:tc>
          <w:tcPr>
            <w:tcW w:w="2768" w:type="dxa"/>
            <w:noWrap w:val="0"/>
            <w:vAlign w:val="center"/>
          </w:tcPr>
          <w:p w14:paraId="7EF9A88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其它入网期刊</w:t>
            </w:r>
          </w:p>
        </w:tc>
        <w:tc>
          <w:tcPr>
            <w:tcW w:w="1605" w:type="dxa"/>
            <w:noWrap w:val="0"/>
            <w:vAlign w:val="center"/>
          </w:tcPr>
          <w:p w14:paraId="70CFD25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1470" w:type="dxa"/>
            <w:noWrap w:val="0"/>
            <w:vAlign w:val="center"/>
          </w:tcPr>
          <w:p w14:paraId="776A654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200" w:type="dxa"/>
            <w:noWrap w:val="0"/>
            <w:vAlign w:val="center"/>
          </w:tcPr>
          <w:p w14:paraId="6BB1B9C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0.</w:t>
            </w:r>
            <w:r>
              <w:rPr>
                <w:rFonts w:hint="eastAsia" w:asciiTheme="minorEastAsia" w:hAnsiTheme="minorEastAsia" w:eastAsiaTheme="minorEastAsia" w:cstheme="minorEastAsia"/>
                <w:b w:val="0"/>
                <w:bCs w:val="0"/>
                <w:color w:val="auto"/>
                <w:sz w:val="24"/>
                <w:szCs w:val="24"/>
                <w:lang w:val="en-US" w:eastAsia="zh-CN"/>
              </w:rPr>
              <w:t>5</w:t>
            </w:r>
          </w:p>
        </w:tc>
        <w:tc>
          <w:tcPr>
            <w:tcW w:w="1746" w:type="dxa"/>
            <w:noWrap w:val="0"/>
            <w:vAlign w:val="center"/>
          </w:tcPr>
          <w:p w14:paraId="63F577A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正式发表</w:t>
            </w:r>
          </w:p>
        </w:tc>
      </w:tr>
      <w:tr w14:paraId="6FEF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exact"/>
          <w:jc w:val="center"/>
        </w:trPr>
        <w:tc>
          <w:tcPr>
            <w:tcW w:w="2768" w:type="dxa"/>
            <w:noWrap w:val="0"/>
            <w:vAlign w:val="center"/>
          </w:tcPr>
          <w:p w14:paraId="63826DB7">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市级及其它发表论文</w:t>
            </w:r>
          </w:p>
        </w:tc>
        <w:tc>
          <w:tcPr>
            <w:tcW w:w="1605" w:type="dxa"/>
            <w:noWrap w:val="0"/>
            <w:vAlign w:val="center"/>
          </w:tcPr>
          <w:p w14:paraId="33C1926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470" w:type="dxa"/>
            <w:noWrap w:val="0"/>
            <w:vAlign w:val="center"/>
          </w:tcPr>
          <w:p w14:paraId="3D8A732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0.</w:t>
            </w:r>
            <w:r>
              <w:rPr>
                <w:rFonts w:hint="eastAsia" w:asciiTheme="minorEastAsia" w:hAnsiTheme="minorEastAsia" w:eastAsiaTheme="minorEastAsia" w:cstheme="minorEastAsia"/>
                <w:b w:val="0"/>
                <w:bCs w:val="0"/>
                <w:color w:val="auto"/>
                <w:sz w:val="24"/>
                <w:szCs w:val="24"/>
                <w:lang w:val="en-US" w:eastAsia="zh-CN"/>
              </w:rPr>
              <w:t>5</w:t>
            </w:r>
          </w:p>
        </w:tc>
        <w:tc>
          <w:tcPr>
            <w:tcW w:w="1200" w:type="dxa"/>
            <w:noWrap w:val="0"/>
            <w:vAlign w:val="center"/>
          </w:tcPr>
          <w:p w14:paraId="3584FC0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0.</w:t>
            </w:r>
            <w:r>
              <w:rPr>
                <w:rFonts w:hint="eastAsia" w:asciiTheme="minorEastAsia" w:hAnsiTheme="minorEastAsia" w:eastAsiaTheme="minorEastAsia" w:cstheme="minorEastAsia"/>
                <w:b w:val="0"/>
                <w:bCs w:val="0"/>
                <w:color w:val="auto"/>
                <w:sz w:val="24"/>
                <w:szCs w:val="24"/>
                <w:lang w:val="en-US" w:eastAsia="zh-CN"/>
              </w:rPr>
              <w:t>3</w:t>
            </w:r>
          </w:p>
        </w:tc>
        <w:tc>
          <w:tcPr>
            <w:tcW w:w="1746" w:type="dxa"/>
            <w:noWrap w:val="0"/>
            <w:vAlign w:val="center"/>
          </w:tcPr>
          <w:p w14:paraId="1782691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正式发表</w:t>
            </w:r>
          </w:p>
        </w:tc>
      </w:tr>
    </w:tbl>
    <w:p w14:paraId="14B44695">
      <w:pPr>
        <w:pageBreakBefore w:val="0"/>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07C19FE0">
      <w:pPr>
        <w:pageBreakBefore w:val="0"/>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530ABD67">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表2  学术著作分值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746"/>
        <w:gridCol w:w="1337"/>
        <w:gridCol w:w="1337"/>
        <w:gridCol w:w="1338"/>
        <w:gridCol w:w="2031"/>
      </w:tblGrid>
      <w:tr w14:paraId="0B90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2746" w:type="dxa"/>
            <w:vMerge w:val="restart"/>
            <w:noWrap w:val="0"/>
            <w:vAlign w:val="center"/>
          </w:tcPr>
          <w:p w14:paraId="77F84E15">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分类</w:t>
            </w:r>
          </w:p>
        </w:tc>
        <w:tc>
          <w:tcPr>
            <w:tcW w:w="4012" w:type="dxa"/>
            <w:gridSpan w:val="3"/>
            <w:noWrap w:val="0"/>
            <w:vAlign w:val="center"/>
          </w:tcPr>
          <w:p w14:paraId="3DA0AE0F">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单位成果业绩分值</w:t>
            </w:r>
          </w:p>
        </w:tc>
        <w:tc>
          <w:tcPr>
            <w:tcW w:w="2031" w:type="dxa"/>
            <w:vMerge w:val="restart"/>
            <w:noWrap w:val="0"/>
            <w:vAlign w:val="center"/>
          </w:tcPr>
          <w:p w14:paraId="26C11346">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备注</w:t>
            </w:r>
          </w:p>
        </w:tc>
      </w:tr>
      <w:tr w14:paraId="4AAB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2746" w:type="dxa"/>
            <w:vMerge w:val="continue"/>
            <w:noWrap w:val="0"/>
            <w:vAlign w:val="center"/>
          </w:tcPr>
          <w:p w14:paraId="392DBEF1">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tc>
        <w:tc>
          <w:tcPr>
            <w:tcW w:w="1337" w:type="dxa"/>
            <w:noWrap w:val="0"/>
            <w:vAlign w:val="center"/>
          </w:tcPr>
          <w:p w14:paraId="2AF09A14">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主编</w:t>
            </w:r>
          </w:p>
        </w:tc>
        <w:tc>
          <w:tcPr>
            <w:tcW w:w="1337" w:type="dxa"/>
            <w:noWrap w:val="0"/>
            <w:vAlign w:val="center"/>
          </w:tcPr>
          <w:p w14:paraId="27829A50">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副主编</w:t>
            </w:r>
          </w:p>
        </w:tc>
        <w:tc>
          <w:tcPr>
            <w:tcW w:w="1338" w:type="dxa"/>
            <w:noWrap w:val="0"/>
            <w:vAlign w:val="center"/>
          </w:tcPr>
          <w:p w14:paraId="13FEFFA1">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作者</w:t>
            </w:r>
          </w:p>
        </w:tc>
        <w:tc>
          <w:tcPr>
            <w:tcW w:w="2031" w:type="dxa"/>
            <w:vMerge w:val="continue"/>
            <w:noWrap w:val="0"/>
            <w:vAlign w:val="center"/>
          </w:tcPr>
          <w:p w14:paraId="39E787D7">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tc>
      </w:tr>
      <w:tr w14:paraId="1857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2746" w:type="dxa"/>
            <w:noWrap w:val="0"/>
            <w:vAlign w:val="center"/>
          </w:tcPr>
          <w:p w14:paraId="288CB52D">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正式出版著作</w:t>
            </w:r>
          </w:p>
        </w:tc>
        <w:tc>
          <w:tcPr>
            <w:tcW w:w="1337" w:type="dxa"/>
            <w:noWrap w:val="0"/>
            <w:vAlign w:val="center"/>
          </w:tcPr>
          <w:p w14:paraId="7953D823">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p>
        </w:tc>
        <w:tc>
          <w:tcPr>
            <w:tcW w:w="1337" w:type="dxa"/>
            <w:noWrap w:val="0"/>
            <w:vAlign w:val="center"/>
          </w:tcPr>
          <w:p w14:paraId="7B991FC1">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1338" w:type="dxa"/>
            <w:noWrap w:val="0"/>
            <w:vAlign w:val="center"/>
          </w:tcPr>
          <w:p w14:paraId="6C13FEBF">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2031" w:type="dxa"/>
            <w:noWrap w:val="0"/>
            <w:vAlign w:val="center"/>
          </w:tcPr>
          <w:p w14:paraId="27C8A232">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正式出版</w:t>
            </w:r>
          </w:p>
        </w:tc>
      </w:tr>
    </w:tbl>
    <w:p w14:paraId="6A5CEC92">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p w14:paraId="7EFBB5C0">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表3  科技进步奖分值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98"/>
        <w:gridCol w:w="838"/>
        <w:gridCol w:w="915"/>
        <w:gridCol w:w="1005"/>
        <w:gridCol w:w="930"/>
        <w:gridCol w:w="930"/>
        <w:gridCol w:w="945"/>
        <w:gridCol w:w="900"/>
        <w:gridCol w:w="810"/>
        <w:gridCol w:w="618"/>
        <w:gridCol w:w="7"/>
      </w:tblGrid>
      <w:tr w14:paraId="0BDD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After w:val="1"/>
          <w:wAfter w:w="0" w:type="dxa"/>
          <w:trHeight w:val="20" w:hRule="atLeast"/>
          <w:jc w:val="center"/>
        </w:trPr>
        <w:tc>
          <w:tcPr>
            <w:tcW w:w="1736" w:type="dxa"/>
            <w:gridSpan w:val="2"/>
            <w:vMerge w:val="restart"/>
            <w:noWrap w:val="0"/>
            <w:vAlign w:val="center"/>
          </w:tcPr>
          <w:p w14:paraId="7C5A58D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分类</w:t>
            </w:r>
          </w:p>
        </w:tc>
        <w:tc>
          <w:tcPr>
            <w:tcW w:w="6435" w:type="dxa"/>
            <w:gridSpan w:val="7"/>
            <w:noWrap w:val="0"/>
            <w:vAlign w:val="center"/>
          </w:tcPr>
          <w:p w14:paraId="1A10C13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单位成果业绩分值</w:t>
            </w:r>
          </w:p>
        </w:tc>
        <w:tc>
          <w:tcPr>
            <w:tcW w:w="618" w:type="dxa"/>
            <w:noWrap w:val="0"/>
            <w:vAlign w:val="center"/>
          </w:tcPr>
          <w:p w14:paraId="50F8FEE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备注</w:t>
            </w:r>
          </w:p>
        </w:tc>
      </w:tr>
      <w:tr w14:paraId="1D48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1736" w:type="dxa"/>
            <w:gridSpan w:val="2"/>
            <w:vMerge w:val="continue"/>
            <w:noWrap w:val="0"/>
            <w:vAlign w:val="center"/>
          </w:tcPr>
          <w:p w14:paraId="7F53DC3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915" w:type="dxa"/>
            <w:noWrap w:val="0"/>
            <w:vAlign w:val="center"/>
          </w:tcPr>
          <w:p w14:paraId="6F7A74A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第一名</w:t>
            </w:r>
          </w:p>
        </w:tc>
        <w:tc>
          <w:tcPr>
            <w:tcW w:w="1005" w:type="dxa"/>
            <w:noWrap w:val="0"/>
            <w:vAlign w:val="center"/>
          </w:tcPr>
          <w:p w14:paraId="5AC40A6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第二名</w:t>
            </w:r>
          </w:p>
        </w:tc>
        <w:tc>
          <w:tcPr>
            <w:tcW w:w="930" w:type="dxa"/>
            <w:noWrap w:val="0"/>
            <w:vAlign w:val="center"/>
          </w:tcPr>
          <w:p w14:paraId="245C2A4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第三名</w:t>
            </w:r>
          </w:p>
        </w:tc>
        <w:tc>
          <w:tcPr>
            <w:tcW w:w="930" w:type="dxa"/>
            <w:noWrap w:val="0"/>
            <w:vAlign w:val="center"/>
          </w:tcPr>
          <w:p w14:paraId="3A55E5F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第四名</w:t>
            </w:r>
          </w:p>
        </w:tc>
        <w:tc>
          <w:tcPr>
            <w:tcW w:w="945" w:type="dxa"/>
            <w:noWrap w:val="0"/>
            <w:vAlign w:val="center"/>
          </w:tcPr>
          <w:p w14:paraId="70163C3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第五名</w:t>
            </w:r>
          </w:p>
        </w:tc>
        <w:tc>
          <w:tcPr>
            <w:tcW w:w="900" w:type="dxa"/>
            <w:noWrap w:val="0"/>
            <w:vAlign w:val="center"/>
          </w:tcPr>
          <w:p w14:paraId="360B3D2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第六名</w:t>
            </w:r>
          </w:p>
        </w:tc>
        <w:tc>
          <w:tcPr>
            <w:tcW w:w="810" w:type="dxa"/>
            <w:noWrap w:val="0"/>
            <w:vAlign w:val="center"/>
          </w:tcPr>
          <w:p w14:paraId="629CA97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他它人</w:t>
            </w:r>
          </w:p>
        </w:tc>
        <w:tc>
          <w:tcPr>
            <w:tcW w:w="625" w:type="dxa"/>
            <w:gridSpan w:val="2"/>
            <w:noWrap w:val="0"/>
            <w:vAlign w:val="center"/>
          </w:tcPr>
          <w:p w14:paraId="07EBD9E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r>
      <w:tr w14:paraId="5FA3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restart"/>
            <w:noWrap w:val="0"/>
            <w:vAlign w:val="center"/>
          </w:tcPr>
          <w:p w14:paraId="558D4B10">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国家</w:t>
            </w:r>
          </w:p>
          <w:p w14:paraId="7D3322E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级进</w:t>
            </w:r>
          </w:p>
          <w:p w14:paraId="7B4C4B0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步奖</w:t>
            </w:r>
          </w:p>
        </w:tc>
        <w:tc>
          <w:tcPr>
            <w:tcW w:w="838" w:type="dxa"/>
            <w:noWrap w:val="0"/>
            <w:vAlign w:val="center"/>
          </w:tcPr>
          <w:p w14:paraId="511B2D9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一等奖</w:t>
            </w:r>
          </w:p>
        </w:tc>
        <w:tc>
          <w:tcPr>
            <w:tcW w:w="915" w:type="dxa"/>
            <w:noWrap w:val="0"/>
            <w:vAlign w:val="center"/>
          </w:tcPr>
          <w:p w14:paraId="4554C6A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50</w:t>
            </w:r>
          </w:p>
        </w:tc>
        <w:tc>
          <w:tcPr>
            <w:tcW w:w="1005" w:type="dxa"/>
            <w:noWrap w:val="0"/>
            <w:vAlign w:val="center"/>
          </w:tcPr>
          <w:p w14:paraId="3369007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40</w:t>
            </w:r>
          </w:p>
        </w:tc>
        <w:tc>
          <w:tcPr>
            <w:tcW w:w="930" w:type="dxa"/>
            <w:noWrap w:val="0"/>
            <w:vAlign w:val="center"/>
          </w:tcPr>
          <w:p w14:paraId="0BDFFF5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30</w:t>
            </w:r>
          </w:p>
        </w:tc>
        <w:tc>
          <w:tcPr>
            <w:tcW w:w="930" w:type="dxa"/>
            <w:noWrap w:val="0"/>
            <w:vAlign w:val="center"/>
          </w:tcPr>
          <w:p w14:paraId="0C30AEC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w:t>
            </w:r>
          </w:p>
        </w:tc>
        <w:tc>
          <w:tcPr>
            <w:tcW w:w="945" w:type="dxa"/>
            <w:noWrap w:val="0"/>
            <w:vAlign w:val="center"/>
          </w:tcPr>
          <w:p w14:paraId="544F77C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0</w:t>
            </w:r>
          </w:p>
        </w:tc>
        <w:tc>
          <w:tcPr>
            <w:tcW w:w="900" w:type="dxa"/>
            <w:noWrap w:val="0"/>
            <w:vAlign w:val="center"/>
          </w:tcPr>
          <w:p w14:paraId="4130A09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810" w:type="dxa"/>
            <w:noWrap w:val="0"/>
            <w:vAlign w:val="center"/>
          </w:tcPr>
          <w:p w14:paraId="6BCF54C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625" w:type="dxa"/>
            <w:gridSpan w:val="2"/>
            <w:noWrap w:val="0"/>
            <w:vAlign w:val="center"/>
          </w:tcPr>
          <w:p w14:paraId="137DCD6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46B3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continue"/>
            <w:noWrap w:val="0"/>
            <w:vAlign w:val="center"/>
          </w:tcPr>
          <w:p w14:paraId="1FA2491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38" w:type="dxa"/>
            <w:noWrap w:val="0"/>
            <w:vAlign w:val="center"/>
          </w:tcPr>
          <w:p w14:paraId="174B47C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二等奖</w:t>
            </w:r>
          </w:p>
        </w:tc>
        <w:tc>
          <w:tcPr>
            <w:tcW w:w="915" w:type="dxa"/>
            <w:noWrap w:val="0"/>
            <w:vAlign w:val="center"/>
          </w:tcPr>
          <w:p w14:paraId="6B5A60F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40</w:t>
            </w:r>
          </w:p>
        </w:tc>
        <w:tc>
          <w:tcPr>
            <w:tcW w:w="1005" w:type="dxa"/>
            <w:noWrap w:val="0"/>
            <w:vAlign w:val="center"/>
          </w:tcPr>
          <w:p w14:paraId="580D75A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30</w:t>
            </w:r>
          </w:p>
        </w:tc>
        <w:tc>
          <w:tcPr>
            <w:tcW w:w="930" w:type="dxa"/>
            <w:noWrap w:val="0"/>
            <w:vAlign w:val="center"/>
          </w:tcPr>
          <w:p w14:paraId="06258F2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0</w:t>
            </w:r>
          </w:p>
        </w:tc>
        <w:tc>
          <w:tcPr>
            <w:tcW w:w="930" w:type="dxa"/>
            <w:noWrap w:val="0"/>
            <w:vAlign w:val="center"/>
          </w:tcPr>
          <w:p w14:paraId="517E04C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w:t>
            </w:r>
          </w:p>
        </w:tc>
        <w:tc>
          <w:tcPr>
            <w:tcW w:w="945" w:type="dxa"/>
            <w:noWrap w:val="0"/>
            <w:vAlign w:val="center"/>
          </w:tcPr>
          <w:p w14:paraId="437B63D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900" w:type="dxa"/>
            <w:noWrap w:val="0"/>
            <w:vAlign w:val="center"/>
          </w:tcPr>
          <w:p w14:paraId="67663647">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810" w:type="dxa"/>
            <w:noWrap w:val="0"/>
            <w:vAlign w:val="center"/>
          </w:tcPr>
          <w:p w14:paraId="5E15F2A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625" w:type="dxa"/>
            <w:gridSpan w:val="2"/>
            <w:noWrap w:val="0"/>
            <w:vAlign w:val="center"/>
          </w:tcPr>
          <w:p w14:paraId="368DF95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1D52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continue"/>
            <w:noWrap w:val="0"/>
            <w:vAlign w:val="center"/>
          </w:tcPr>
          <w:p w14:paraId="76CE74B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38" w:type="dxa"/>
            <w:noWrap w:val="0"/>
            <w:vAlign w:val="center"/>
          </w:tcPr>
          <w:p w14:paraId="12C4E82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三等奖</w:t>
            </w:r>
          </w:p>
        </w:tc>
        <w:tc>
          <w:tcPr>
            <w:tcW w:w="915" w:type="dxa"/>
            <w:noWrap w:val="0"/>
            <w:vAlign w:val="center"/>
          </w:tcPr>
          <w:p w14:paraId="33B713F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0</w:t>
            </w:r>
          </w:p>
        </w:tc>
        <w:tc>
          <w:tcPr>
            <w:tcW w:w="1005" w:type="dxa"/>
            <w:noWrap w:val="0"/>
            <w:vAlign w:val="center"/>
          </w:tcPr>
          <w:p w14:paraId="7CC012B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0</w:t>
            </w:r>
          </w:p>
        </w:tc>
        <w:tc>
          <w:tcPr>
            <w:tcW w:w="930" w:type="dxa"/>
            <w:noWrap w:val="0"/>
            <w:vAlign w:val="center"/>
          </w:tcPr>
          <w:p w14:paraId="5CEAE3E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0</w:t>
            </w:r>
          </w:p>
        </w:tc>
        <w:tc>
          <w:tcPr>
            <w:tcW w:w="930" w:type="dxa"/>
            <w:noWrap w:val="0"/>
            <w:vAlign w:val="center"/>
          </w:tcPr>
          <w:p w14:paraId="0D5C9DB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945" w:type="dxa"/>
            <w:noWrap w:val="0"/>
            <w:vAlign w:val="center"/>
          </w:tcPr>
          <w:p w14:paraId="44723E1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900" w:type="dxa"/>
            <w:noWrap w:val="0"/>
            <w:vAlign w:val="center"/>
          </w:tcPr>
          <w:p w14:paraId="5449B1B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810" w:type="dxa"/>
            <w:noWrap w:val="0"/>
            <w:vAlign w:val="center"/>
          </w:tcPr>
          <w:p w14:paraId="72BE74F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625" w:type="dxa"/>
            <w:gridSpan w:val="2"/>
            <w:noWrap w:val="0"/>
            <w:vAlign w:val="center"/>
          </w:tcPr>
          <w:p w14:paraId="45351BE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2487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restart"/>
            <w:noWrap w:val="0"/>
            <w:vAlign w:val="center"/>
          </w:tcPr>
          <w:p w14:paraId="17F4BBC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省部</w:t>
            </w:r>
          </w:p>
          <w:p w14:paraId="1A718B2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级进</w:t>
            </w:r>
          </w:p>
          <w:p w14:paraId="006384F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步奖</w:t>
            </w:r>
          </w:p>
        </w:tc>
        <w:tc>
          <w:tcPr>
            <w:tcW w:w="838" w:type="dxa"/>
            <w:noWrap w:val="0"/>
            <w:vAlign w:val="center"/>
          </w:tcPr>
          <w:p w14:paraId="24E5C06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一等奖</w:t>
            </w:r>
          </w:p>
        </w:tc>
        <w:tc>
          <w:tcPr>
            <w:tcW w:w="915" w:type="dxa"/>
            <w:noWrap w:val="0"/>
            <w:vAlign w:val="center"/>
          </w:tcPr>
          <w:p w14:paraId="4BB120F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0</w:t>
            </w:r>
          </w:p>
        </w:tc>
        <w:tc>
          <w:tcPr>
            <w:tcW w:w="1005" w:type="dxa"/>
            <w:noWrap w:val="0"/>
            <w:vAlign w:val="center"/>
          </w:tcPr>
          <w:p w14:paraId="740885F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w:t>
            </w:r>
          </w:p>
        </w:tc>
        <w:tc>
          <w:tcPr>
            <w:tcW w:w="930" w:type="dxa"/>
            <w:noWrap w:val="0"/>
            <w:vAlign w:val="center"/>
          </w:tcPr>
          <w:p w14:paraId="1F89EE6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930" w:type="dxa"/>
            <w:noWrap w:val="0"/>
            <w:vAlign w:val="center"/>
          </w:tcPr>
          <w:p w14:paraId="6E4D4DC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945" w:type="dxa"/>
            <w:noWrap w:val="0"/>
            <w:vAlign w:val="center"/>
          </w:tcPr>
          <w:p w14:paraId="2A8EFB7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900" w:type="dxa"/>
            <w:noWrap w:val="0"/>
            <w:vAlign w:val="center"/>
          </w:tcPr>
          <w:p w14:paraId="638949A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810" w:type="dxa"/>
            <w:noWrap w:val="0"/>
            <w:vAlign w:val="center"/>
          </w:tcPr>
          <w:p w14:paraId="3560E3B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625" w:type="dxa"/>
            <w:gridSpan w:val="2"/>
            <w:noWrap w:val="0"/>
            <w:vAlign w:val="center"/>
          </w:tcPr>
          <w:p w14:paraId="2131CA0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07D7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continue"/>
            <w:noWrap w:val="0"/>
            <w:vAlign w:val="center"/>
          </w:tcPr>
          <w:p w14:paraId="5AB984B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38" w:type="dxa"/>
            <w:noWrap w:val="0"/>
            <w:vAlign w:val="center"/>
          </w:tcPr>
          <w:p w14:paraId="590996E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二等奖</w:t>
            </w:r>
          </w:p>
        </w:tc>
        <w:tc>
          <w:tcPr>
            <w:tcW w:w="915" w:type="dxa"/>
            <w:noWrap w:val="0"/>
            <w:vAlign w:val="center"/>
          </w:tcPr>
          <w:p w14:paraId="6180510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w:t>
            </w:r>
          </w:p>
        </w:tc>
        <w:tc>
          <w:tcPr>
            <w:tcW w:w="1005" w:type="dxa"/>
            <w:noWrap w:val="0"/>
            <w:vAlign w:val="center"/>
          </w:tcPr>
          <w:p w14:paraId="4A630E4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930" w:type="dxa"/>
            <w:noWrap w:val="0"/>
            <w:vAlign w:val="center"/>
          </w:tcPr>
          <w:p w14:paraId="72AFBAF7">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930" w:type="dxa"/>
            <w:noWrap w:val="0"/>
            <w:vAlign w:val="center"/>
          </w:tcPr>
          <w:p w14:paraId="5EC4A48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945" w:type="dxa"/>
            <w:noWrap w:val="0"/>
            <w:vAlign w:val="center"/>
          </w:tcPr>
          <w:p w14:paraId="7284DCF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900" w:type="dxa"/>
            <w:noWrap w:val="0"/>
            <w:vAlign w:val="center"/>
          </w:tcPr>
          <w:p w14:paraId="47D9D13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810" w:type="dxa"/>
            <w:noWrap w:val="0"/>
            <w:vAlign w:val="center"/>
          </w:tcPr>
          <w:p w14:paraId="637DEA7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0.</w:t>
            </w:r>
            <w:r>
              <w:rPr>
                <w:rFonts w:hint="eastAsia" w:asciiTheme="minorEastAsia" w:hAnsiTheme="minorEastAsia" w:eastAsiaTheme="minorEastAsia" w:cstheme="minorEastAsia"/>
                <w:b w:val="0"/>
                <w:bCs w:val="0"/>
                <w:color w:val="auto"/>
                <w:sz w:val="24"/>
                <w:szCs w:val="24"/>
                <w:lang w:val="en-US" w:eastAsia="zh-CN"/>
              </w:rPr>
              <w:t>5</w:t>
            </w:r>
          </w:p>
        </w:tc>
        <w:tc>
          <w:tcPr>
            <w:tcW w:w="625" w:type="dxa"/>
            <w:gridSpan w:val="2"/>
            <w:noWrap w:val="0"/>
            <w:vAlign w:val="center"/>
          </w:tcPr>
          <w:p w14:paraId="7711B69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396A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continue"/>
            <w:noWrap w:val="0"/>
            <w:vAlign w:val="center"/>
          </w:tcPr>
          <w:p w14:paraId="27ECE9A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38" w:type="dxa"/>
            <w:noWrap w:val="0"/>
            <w:vAlign w:val="center"/>
          </w:tcPr>
          <w:p w14:paraId="5F3E7F1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三等奖</w:t>
            </w:r>
          </w:p>
        </w:tc>
        <w:tc>
          <w:tcPr>
            <w:tcW w:w="915" w:type="dxa"/>
            <w:noWrap w:val="0"/>
            <w:vAlign w:val="center"/>
          </w:tcPr>
          <w:p w14:paraId="71C8F75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1005" w:type="dxa"/>
            <w:noWrap w:val="0"/>
            <w:vAlign w:val="center"/>
          </w:tcPr>
          <w:p w14:paraId="13ECFFD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930" w:type="dxa"/>
            <w:noWrap w:val="0"/>
            <w:vAlign w:val="center"/>
          </w:tcPr>
          <w:p w14:paraId="010F88B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930" w:type="dxa"/>
            <w:noWrap w:val="0"/>
            <w:vAlign w:val="center"/>
          </w:tcPr>
          <w:p w14:paraId="31B090D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945" w:type="dxa"/>
            <w:noWrap w:val="0"/>
            <w:vAlign w:val="center"/>
          </w:tcPr>
          <w:p w14:paraId="603DAFC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900" w:type="dxa"/>
            <w:noWrap w:val="0"/>
            <w:vAlign w:val="center"/>
          </w:tcPr>
          <w:p w14:paraId="0F6B6F9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10" w:type="dxa"/>
            <w:noWrap w:val="0"/>
            <w:vAlign w:val="center"/>
          </w:tcPr>
          <w:p w14:paraId="4ADF0AC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0.</w:t>
            </w:r>
            <w:r>
              <w:rPr>
                <w:rFonts w:hint="eastAsia" w:asciiTheme="minorEastAsia" w:hAnsiTheme="minorEastAsia" w:eastAsiaTheme="minorEastAsia" w:cstheme="minorEastAsia"/>
                <w:b w:val="0"/>
                <w:bCs w:val="0"/>
                <w:color w:val="auto"/>
                <w:sz w:val="24"/>
                <w:szCs w:val="24"/>
                <w:lang w:val="en-US" w:eastAsia="zh-CN"/>
              </w:rPr>
              <w:t>3</w:t>
            </w:r>
          </w:p>
        </w:tc>
        <w:tc>
          <w:tcPr>
            <w:tcW w:w="625" w:type="dxa"/>
            <w:gridSpan w:val="2"/>
            <w:noWrap w:val="0"/>
            <w:vAlign w:val="center"/>
          </w:tcPr>
          <w:p w14:paraId="2640DF0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0C4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restart"/>
            <w:noWrap w:val="0"/>
            <w:vAlign w:val="center"/>
          </w:tcPr>
          <w:p w14:paraId="31B8DB6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市</w:t>
            </w:r>
          </w:p>
          <w:p w14:paraId="21C4179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级进</w:t>
            </w:r>
          </w:p>
          <w:p w14:paraId="7B0B5E4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步奖</w:t>
            </w:r>
          </w:p>
        </w:tc>
        <w:tc>
          <w:tcPr>
            <w:tcW w:w="838" w:type="dxa"/>
            <w:noWrap w:val="0"/>
            <w:vAlign w:val="center"/>
          </w:tcPr>
          <w:p w14:paraId="55CB66F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一等奖</w:t>
            </w:r>
          </w:p>
        </w:tc>
        <w:tc>
          <w:tcPr>
            <w:tcW w:w="915" w:type="dxa"/>
            <w:noWrap w:val="0"/>
            <w:vAlign w:val="center"/>
          </w:tcPr>
          <w:p w14:paraId="2CF3A13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1005" w:type="dxa"/>
            <w:noWrap w:val="0"/>
            <w:vAlign w:val="center"/>
          </w:tcPr>
          <w:p w14:paraId="108E0B6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930" w:type="dxa"/>
            <w:noWrap w:val="0"/>
            <w:vAlign w:val="center"/>
          </w:tcPr>
          <w:p w14:paraId="281FE5A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930" w:type="dxa"/>
            <w:noWrap w:val="0"/>
            <w:vAlign w:val="center"/>
          </w:tcPr>
          <w:p w14:paraId="41D0DB6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945" w:type="dxa"/>
            <w:noWrap w:val="0"/>
            <w:vAlign w:val="center"/>
          </w:tcPr>
          <w:p w14:paraId="5914B26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900" w:type="dxa"/>
            <w:noWrap w:val="0"/>
            <w:vAlign w:val="center"/>
          </w:tcPr>
          <w:p w14:paraId="73E975C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10" w:type="dxa"/>
            <w:noWrap w:val="0"/>
            <w:vAlign w:val="center"/>
          </w:tcPr>
          <w:p w14:paraId="24BF022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0.</w:t>
            </w:r>
            <w:r>
              <w:rPr>
                <w:rFonts w:hint="eastAsia" w:asciiTheme="minorEastAsia" w:hAnsiTheme="minorEastAsia" w:eastAsiaTheme="minorEastAsia" w:cstheme="minorEastAsia"/>
                <w:b w:val="0"/>
                <w:bCs w:val="0"/>
                <w:color w:val="auto"/>
                <w:sz w:val="24"/>
                <w:szCs w:val="24"/>
                <w:lang w:val="en-US" w:eastAsia="zh-CN"/>
              </w:rPr>
              <w:t>2</w:t>
            </w:r>
          </w:p>
        </w:tc>
        <w:tc>
          <w:tcPr>
            <w:tcW w:w="625" w:type="dxa"/>
            <w:gridSpan w:val="2"/>
            <w:noWrap w:val="0"/>
            <w:vAlign w:val="center"/>
          </w:tcPr>
          <w:p w14:paraId="52267EE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6E14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continue"/>
            <w:noWrap w:val="0"/>
            <w:vAlign w:val="center"/>
          </w:tcPr>
          <w:p w14:paraId="3A7C97B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38" w:type="dxa"/>
            <w:noWrap w:val="0"/>
            <w:vAlign w:val="center"/>
          </w:tcPr>
          <w:p w14:paraId="2E2CAEE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二等奖</w:t>
            </w:r>
          </w:p>
        </w:tc>
        <w:tc>
          <w:tcPr>
            <w:tcW w:w="915" w:type="dxa"/>
            <w:noWrap w:val="0"/>
            <w:vAlign w:val="center"/>
          </w:tcPr>
          <w:p w14:paraId="491F35B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1005" w:type="dxa"/>
            <w:noWrap w:val="0"/>
            <w:vAlign w:val="center"/>
          </w:tcPr>
          <w:p w14:paraId="45C0ED3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930" w:type="dxa"/>
            <w:noWrap w:val="0"/>
            <w:vAlign w:val="center"/>
          </w:tcPr>
          <w:p w14:paraId="5595E1D0">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930" w:type="dxa"/>
            <w:noWrap w:val="0"/>
            <w:vAlign w:val="center"/>
          </w:tcPr>
          <w:p w14:paraId="485C4B4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945" w:type="dxa"/>
            <w:noWrap w:val="0"/>
            <w:vAlign w:val="center"/>
          </w:tcPr>
          <w:p w14:paraId="51EF0F3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900" w:type="dxa"/>
            <w:noWrap w:val="0"/>
            <w:vAlign w:val="center"/>
          </w:tcPr>
          <w:p w14:paraId="3EA8E89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10" w:type="dxa"/>
            <w:noWrap w:val="0"/>
            <w:vAlign w:val="center"/>
          </w:tcPr>
          <w:p w14:paraId="7124254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0.2</w:t>
            </w:r>
          </w:p>
        </w:tc>
        <w:tc>
          <w:tcPr>
            <w:tcW w:w="625" w:type="dxa"/>
            <w:gridSpan w:val="2"/>
            <w:noWrap w:val="0"/>
            <w:vAlign w:val="center"/>
          </w:tcPr>
          <w:p w14:paraId="609BF08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r w14:paraId="13A7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898" w:type="dxa"/>
            <w:vMerge w:val="continue"/>
            <w:noWrap w:val="0"/>
            <w:vAlign w:val="center"/>
          </w:tcPr>
          <w:p w14:paraId="2915FF2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38" w:type="dxa"/>
            <w:noWrap w:val="0"/>
            <w:vAlign w:val="center"/>
          </w:tcPr>
          <w:p w14:paraId="740D1370">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三等奖</w:t>
            </w:r>
          </w:p>
        </w:tc>
        <w:tc>
          <w:tcPr>
            <w:tcW w:w="915" w:type="dxa"/>
            <w:noWrap w:val="0"/>
            <w:vAlign w:val="center"/>
          </w:tcPr>
          <w:p w14:paraId="4585E3A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1005" w:type="dxa"/>
            <w:noWrap w:val="0"/>
            <w:vAlign w:val="center"/>
          </w:tcPr>
          <w:p w14:paraId="3A2C916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930" w:type="dxa"/>
            <w:noWrap w:val="0"/>
            <w:vAlign w:val="center"/>
          </w:tcPr>
          <w:p w14:paraId="5EA6D83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930" w:type="dxa"/>
            <w:noWrap w:val="0"/>
            <w:vAlign w:val="center"/>
          </w:tcPr>
          <w:p w14:paraId="1849438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945" w:type="dxa"/>
            <w:noWrap w:val="0"/>
            <w:vAlign w:val="center"/>
          </w:tcPr>
          <w:p w14:paraId="6664C5E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900" w:type="dxa"/>
            <w:noWrap w:val="0"/>
            <w:vAlign w:val="center"/>
          </w:tcPr>
          <w:p w14:paraId="5BF2DCC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810" w:type="dxa"/>
            <w:noWrap w:val="0"/>
            <w:vAlign w:val="center"/>
          </w:tcPr>
          <w:p w14:paraId="50EF3CE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0.1</w:t>
            </w:r>
          </w:p>
        </w:tc>
        <w:tc>
          <w:tcPr>
            <w:tcW w:w="625" w:type="dxa"/>
            <w:gridSpan w:val="2"/>
            <w:noWrap w:val="0"/>
            <w:vAlign w:val="center"/>
          </w:tcPr>
          <w:p w14:paraId="364D99F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证书</w:t>
            </w:r>
          </w:p>
        </w:tc>
      </w:tr>
    </w:tbl>
    <w:p w14:paraId="58DC6472">
      <w:pPr>
        <w:pageBreakBefore w:val="0"/>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0BCD63DB">
      <w:pPr>
        <w:pageBreakBefore w:val="0"/>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1AA13E14">
      <w:pPr>
        <w:pageBreakBefore w:val="0"/>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1CBCB672">
      <w:pPr>
        <w:pageBreakBefore w:val="0"/>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426A61D6">
      <w:pPr>
        <w:pageBreakBefore w:val="0"/>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rPr>
      </w:pPr>
    </w:p>
    <w:p w14:paraId="657220D3">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表</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rPr>
        <w:t xml:space="preserve"> 其它奖励分值</w:t>
      </w:r>
    </w:p>
    <w:tbl>
      <w:tblPr>
        <w:tblStyle w:val="15"/>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317"/>
        <w:gridCol w:w="16"/>
        <w:gridCol w:w="1855"/>
        <w:gridCol w:w="2823"/>
        <w:gridCol w:w="2607"/>
      </w:tblGrid>
      <w:tr w14:paraId="7701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188" w:type="dxa"/>
            <w:gridSpan w:val="3"/>
            <w:noWrap w:val="0"/>
            <w:vAlign w:val="center"/>
          </w:tcPr>
          <w:p w14:paraId="16DFE3A2">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奖励类型</w:t>
            </w:r>
          </w:p>
        </w:tc>
        <w:tc>
          <w:tcPr>
            <w:tcW w:w="2823" w:type="dxa"/>
            <w:noWrap w:val="0"/>
            <w:vAlign w:val="center"/>
          </w:tcPr>
          <w:p w14:paraId="28165E73">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单位业绩分值</w:t>
            </w:r>
          </w:p>
        </w:tc>
        <w:tc>
          <w:tcPr>
            <w:tcW w:w="2607" w:type="dxa"/>
            <w:noWrap w:val="0"/>
            <w:vAlign w:val="center"/>
          </w:tcPr>
          <w:p w14:paraId="6C975562">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备注</w:t>
            </w:r>
          </w:p>
        </w:tc>
      </w:tr>
      <w:tr w14:paraId="5751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3" w:type="dxa"/>
            <w:gridSpan w:val="2"/>
            <w:vMerge w:val="restart"/>
            <w:noWrap w:val="0"/>
            <w:vAlign w:val="center"/>
          </w:tcPr>
          <w:p w14:paraId="5F0B60E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国家级奖励</w:t>
            </w:r>
          </w:p>
        </w:tc>
        <w:tc>
          <w:tcPr>
            <w:tcW w:w="1855" w:type="dxa"/>
            <w:noWrap w:val="0"/>
            <w:vAlign w:val="center"/>
          </w:tcPr>
          <w:p w14:paraId="058749A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劳模</w:t>
            </w:r>
          </w:p>
        </w:tc>
        <w:tc>
          <w:tcPr>
            <w:tcW w:w="2823" w:type="dxa"/>
            <w:noWrap w:val="0"/>
            <w:vAlign w:val="center"/>
          </w:tcPr>
          <w:p w14:paraId="5E95565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w:t>
            </w:r>
          </w:p>
        </w:tc>
        <w:tc>
          <w:tcPr>
            <w:tcW w:w="2607" w:type="dxa"/>
            <w:noWrap w:val="0"/>
            <w:vAlign w:val="center"/>
          </w:tcPr>
          <w:p w14:paraId="20C1CF5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奖励证书</w:t>
            </w:r>
          </w:p>
        </w:tc>
      </w:tr>
      <w:tr w14:paraId="333F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3" w:type="dxa"/>
            <w:gridSpan w:val="2"/>
            <w:vMerge w:val="continue"/>
            <w:noWrap w:val="0"/>
            <w:vAlign w:val="center"/>
          </w:tcPr>
          <w:p w14:paraId="5414B36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1855" w:type="dxa"/>
            <w:noWrap w:val="0"/>
            <w:vAlign w:val="center"/>
          </w:tcPr>
          <w:p w14:paraId="791FBAF7">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其它奖励</w:t>
            </w:r>
          </w:p>
        </w:tc>
        <w:tc>
          <w:tcPr>
            <w:tcW w:w="2823" w:type="dxa"/>
            <w:noWrap w:val="0"/>
            <w:vAlign w:val="center"/>
          </w:tcPr>
          <w:p w14:paraId="6A8A608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10</w:t>
            </w:r>
          </w:p>
        </w:tc>
        <w:tc>
          <w:tcPr>
            <w:tcW w:w="2607" w:type="dxa"/>
            <w:noWrap w:val="0"/>
            <w:vAlign w:val="center"/>
          </w:tcPr>
          <w:p w14:paraId="108DFF5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奖励证书</w:t>
            </w:r>
          </w:p>
        </w:tc>
      </w:tr>
      <w:tr w14:paraId="5AE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3" w:type="dxa"/>
            <w:gridSpan w:val="2"/>
            <w:vMerge w:val="restart"/>
            <w:noWrap w:val="0"/>
            <w:vAlign w:val="center"/>
          </w:tcPr>
          <w:p w14:paraId="3A736B4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省级奖励</w:t>
            </w:r>
          </w:p>
        </w:tc>
        <w:tc>
          <w:tcPr>
            <w:tcW w:w="1855" w:type="dxa"/>
            <w:noWrap w:val="0"/>
            <w:vAlign w:val="center"/>
          </w:tcPr>
          <w:p w14:paraId="16213D4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劳模</w:t>
            </w:r>
          </w:p>
        </w:tc>
        <w:tc>
          <w:tcPr>
            <w:tcW w:w="2823" w:type="dxa"/>
            <w:noWrap w:val="0"/>
            <w:vAlign w:val="center"/>
          </w:tcPr>
          <w:p w14:paraId="0CFE8CA4">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w:t>
            </w:r>
          </w:p>
        </w:tc>
        <w:tc>
          <w:tcPr>
            <w:tcW w:w="2607" w:type="dxa"/>
            <w:noWrap w:val="0"/>
            <w:vAlign w:val="center"/>
          </w:tcPr>
          <w:p w14:paraId="18C03BC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奖励证书</w:t>
            </w:r>
          </w:p>
        </w:tc>
      </w:tr>
      <w:tr w14:paraId="7744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3" w:type="dxa"/>
            <w:gridSpan w:val="2"/>
            <w:vMerge w:val="continue"/>
            <w:noWrap w:val="0"/>
            <w:vAlign w:val="center"/>
          </w:tcPr>
          <w:p w14:paraId="2FDA798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1855" w:type="dxa"/>
            <w:noWrap w:val="0"/>
            <w:vAlign w:val="center"/>
          </w:tcPr>
          <w:p w14:paraId="00029ED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其它奖励</w:t>
            </w:r>
          </w:p>
        </w:tc>
        <w:tc>
          <w:tcPr>
            <w:tcW w:w="2823" w:type="dxa"/>
            <w:noWrap w:val="0"/>
            <w:vAlign w:val="center"/>
          </w:tcPr>
          <w:p w14:paraId="6593CC3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2607" w:type="dxa"/>
            <w:noWrap w:val="0"/>
            <w:vAlign w:val="center"/>
          </w:tcPr>
          <w:p w14:paraId="73EEE73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奖励证书</w:t>
            </w:r>
          </w:p>
        </w:tc>
      </w:tr>
      <w:tr w14:paraId="717E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1" w:hRule="atLeast"/>
          <w:jc w:val="center"/>
        </w:trPr>
        <w:tc>
          <w:tcPr>
            <w:tcW w:w="1317" w:type="dxa"/>
            <w:vMerge w:val="restart"/>
            <w:noWrap w:val="0"/>
            <w:vAlign w:val="center"/>
          </w:tcPr>
          <w:p w14:paraId="1A65BF6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市级奖励</w:t>
            </w:r>
          </w:p>
        </w:tc>
        <w:tc>
          <w:tcPr>
            <w:tcW w:w="1871" w:type="dxa"/>
            <w:gridSpan w:val="2"/>
            <w:noWrap w:val="0"/>
            <w:vAlign w:val="center"/>
          </w:tcPr>
          <w:p w14:paraId="604900F0">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劳模</w:t>
            </w:r>
          </w:p>
        </w:tc>
        <w:tc>
          <w:tcPr>
            <w:tcW w:w="2823" w:type="dxa"/>
            <w:noWrap w:val="0"/>
            <w:vAlign w:val="center"/>
          </w:tcPr>
          <w:p w14:paraId="6418190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2607" w:type="dxa"/>
            <w:noWrap w:val="0"/>
            <w:vAlign w:val="center"/>
          </w:tcPr>
          <w:p w14:paraId="3721411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奖励证书</w:t>
            </w:r>
          </w:p>
        </w:tc>
      </w:tr>
      <w:tr w14:paraId="1B08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3" w:hRule="atLeast"/>
          <w:jc w:val="center"/>
        </w:trPr>
        <w:tc>
          <w:tcPr>
            <w:tcW w:w="1317" w:type="dxa"/>
            <w:vMerge w:val="continue"/>
            <w:noWrap w:val="0"/>
            <w:vAlign w:val="center"/>
          </w:tcPr>
          <w:p w14:paraId="6E98D2D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1871" w:type="dxa"/>
            <w:gridSpan w:val="2"/>
            <w:noWrap w:val="0"/>
            <w:vAlign w:val="center"/>
          </w:tcPr>
          <w:p w14:paraId="606826D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其它奖励</w:t>
            </w:r>
          </w:p>
        </w:tc>
        <w:tc>
          <w:tcPr>
            <w:tcW w:w="2823" w:type="dxa"/>
            <w:noWrap w:val="0"/>
            <w:vAlign w:val="center"/>
          </w:tcPr>
          <w:p w14:paraId="35257EE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c>
          <w:tcPr>
            <w:tcW w:w="2607" w:type="dxa"/>
            <w:noWrap w:val="0"/>
            <w:vAlign w:val="center"/>
          </w:tcPr>
          <w:p w14:paraId="5E0095A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奖励证书</w:t>
            </w:r>
          </w:p>
        </w:tc>
      </w:tr>
    </w:tbl>
    <w:p w14:paraId="7E584D73">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p w14:paraId="457A35FA">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表5 </w:t>
      </w:r>
      <w:r>
        <w:rPr>
          <w:rFonts w:hint="eastAsia" w:asciiTheme="minorEastAsia" w:hAnsiTheme="minorEastAsia" w:eastAsiaTheme="minorEastAsia" w:cstheme="minorEastAsia"/>
          <w:b/>
          <w:bCs/>
          <w:color w:val="auto"/>
          <w:sz w:val="24"/>
          <w:szCs w:val="24"/>
          <w:lang w:eastAsia="zh-CN"/>
        </w:rPr>
        <w:t>学历</w:t>
      </w:r>
      <w:r>
        <w:rPr>
          <w:rFonts w:hint="eastAsia" w:asciiTheme="minorEastAsia" w:hAnsiTheme="minorEastAsia" w:eastAsiaTheme="minorEastAsia" w:cstheme="minorEastAsia"/>
          <w:b/>
          <w:bCs/>
          <w:color w:val="auto"/>
          <w:sz w:val="24"/>
          <w:szCs w:val="24"/>
        </w:rPr>
        <w:t>分值</w:t>
      </w:r>
    </w:p>
    <w:tbl>
      <w:tblPr>
        <w:tblStyle w:val="15"/>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320"/>
        <w:gridCol w:w="5"/>
        <w:gridCol w:w="11"/>
        <w:gridCol w:w="1860"/>
        <w:gridCol w:w="2830"/>
        <w:gridCol w:w="2613"/>
      </w:tblGrid>
      <w:tr w14:paraId="3FBA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9" w:hRule="atLeast"/>
          <w:jc w:val="center"/>
        </w:trPr>
        <w:tc>
          <w:tcPr>
            <w:tcW w:w="3196" w:type="dxa"/>
            <w:gridSpan w:val="4"/>
            <w:noWrap w:val="0"/>
            <w:vAlign w:val="center"/>
          </w:tcPr>
          <w:p w14:paraId="184E1896">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评分类型</w:t>
            </w:r>
          </w:p>
        </w:tc>
        <w:tc>
          <w:tcPr>
            <w:tcW w:w="2830" w:type="dxa"/>
            <w:noWrap w:val="0"/>
            <w:vAlign w:val="center"/>
          </w:tcPr>
          <w:p w14:paraId="0124F5F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分值</w:t>
            </w:r>
          </w:p>
        </w:tc>
        <w:tc>
          <w:tcPr>
            <w:tcW w:w="2613" w:type="dxa"/>
            <w:noWrap w:val="0"/>
            <w:vAlign w:val="center"/>
          </w:tcPr>
          <w:p w14:paraId="17DBF275">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备注</w:t>
            </w:r>
          </w:p>
        </w:tc>
      </w:tr>
      <w:tr w14:paraId="526C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1336" w:type="dxa"/>
            <w:gridSpan w:val="3"/>
            <w:noWrap w:val="0"/>
            <w:vAlign w:val="center"/>
          </w:tcPr>
          <w:p w14:paraId="7B4D8AA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研究生</w:t>
            </w:r>
          </w:p>
        </w:tc>
        <w:tc>
          <w:tcPr>
            <w:tcW w:w="1860" w:type="dxa"/>
            <w:noWrap w:val="0"/>
            <w:vAlign w:val="center"/>
          </w:tcPr>
          <w:p w14:paraId="4EBC5C5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p>
        </w:tc>
        <w:tc>
          <w:tcPr>
            <w:tcW w:w="2830" w:type="dxa"/>
            <w:noWrap w:val="0"/>
            <w:vAlign w:val="center"/>
          </w:tcPr>
          <w:p w14:paraId="795B8D03">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2613" w:type="dxa"/>
            <w:noWrap w:val="0"/>
            <w:vAlign w:val="center"/>
          </w:tcPr>
          <w:p w14:paraId="73421B0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毕业证书</w:t>
            </w:r>
          </w:p>
        </w:tc>
      </w:tr>
      <w:tr w14:paraId="41F3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9" w:hRule="atLeast"/>
          <w:jc w:val="center"/>
        </w:trPr>
        <w:tc>
          <w:tcPr>
            <w:tcW w:w="1336" w:type="dxa"/>
            <w:gridSpan w:val="3"/>
            <w:vMerge w:val="restart"/>
            <w:noWrap w:val="0"/>
            <w:vAlign w:val="center"/>
          </w:tcPr>
          <w:p w14:paraId="60B54B6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本科</w:t>
            </w:r>
          </w:p>
        </w:tc>
        <w:tc>
          <w:tcPr>
            <w:tcW w:w="1860" w:type="dxa"/>
            <w:noWrap w:val="0"/>
            <w:vAlign w:val="center"/>
          </w:tcPr>
          <w:p w14:paraId="01CC332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第一学历</w:t>
            </w:r>
          </w:p>
        </w:tc>
        <w:tc>
          <w:tcPr>
            <w:tcW w:w="2830" w:type="dxa"/>
            <w:noWrap w:val="0"/>
            <w:vAlign w:val="center"/>
          </w:tcPr>
          <w:p w14:paraId="412DA03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2613" w:type="dxa"/>
            <w:noWrap w:val="0"/>
            <w:vAlign w:val="center"/>
          </w:tcPr>
          <w:p w14:paraId="4D17113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毕业证书</w:t>
            </w:r>
          </w:p>
        </w:tc>
      </w:tr>
      <w:tr w14:paraId="573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1" w:hRule="atLeast"/>
          <w:jc w:val="center"/>
        </w:trPr>
        <w:tc>
          <w:tcPr>
            <w:tcW w:w="1336" w:type="dxa"/>
            <w:gridSpan w:val="3"/>
            <w:vMerge w:val="continue"/>
            <w:noWrap w:val="0"/>
            <w:vAlign w:val="center"/>
          </w:tcPr>
          <w:p w14:paraId="42716BE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1860" w:type="dxa"/>
            <w:noWrap w:val="0"/>
            <w:vAlign w:val="center"/>
          </w:tcPr>
          <w:p w14:paraId="705B5D81">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第二学历</w:t>
            </w:r>
          </w:p>
        </w:tc>
        <w:tc>
          <w:tcPr>
            <w:tcW w:w="2830" w:type="dxa"/>
            <w:noWrap w:val="0"/>
            <w:vAlign w:val="center"/>
          </w:tcPr>
          <w:p w14:paraId="2A7E98D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3.5</w:t>
            </w:r>
          </w:p>
        </w:tc>
        <w:tc>
          <w:tcPr>
            <w:tcW w:w="2613" w:type="dxa"/>
            <w:noWrap w:val="0"/>
            <w:vAlign w:val="center"/>
          </w:tcPr>
          <w:p w14:paraId="524E8B5A">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毕业证书</w:t>
            </w:r>
          </w:p>
        </w:tc>
      </w:tr>
      <w:tr w14:paraId="376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 w:hRule="atLeast"/>
          <w:jc w:val="center"/>
        </w:trPr>
        <w:tc>
          <w:tcPr>
            <w:tcW w:w="1320" w:type="dxa"/>
            <w:vMerge w:val="restart"/>
            <w:noWrap w:val="0"/>
            <w:vAlign w:val="center"/>
          </w:tcPr>
          <w:p w14:paraId="117BB7EB">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专科</w:t>
            </w:r>
          </w:p>
        </w:tc>
        <w:tc>
          <w:tcPr>
            <w:tcW w:w="1876" w:type="dxa"/>
            <w:gridSpan w:val="3"/>
            <w:noWrap w:val="0"/>
            <w:vAlign w:val="center"/>
          </w:tcPr>
          <w:p w14:paraId="2DD4E1B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第一学历</w:t>
            </w:r>
          </w:p>
        </w:tc>
        <w:tc>
          <w:tcPr>
            <w:tcW w:w="2830" w:type="dxa"/>
            <w:noWrap w:val="0"/>
            <w:vAlign w:val="center"/>
          </w:tcPr>
          <w:p w14:paraId="1BDDCBF7">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2613" w:type="dxa"/>
            <w:noWrap w:val="0"/>
            <w:vAlign w:val="center"/>
          </w:tcPr>
          <w:p w14:paraId="39A0D14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毕业证书</w:t>
            </w:r>
          </w:p>
        </w:tc>
      </w:tr>
      <w:tr w14:paraId="42BE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320" w:type="dxa"/>
            <w:vMerge w:val="continue"/>
            <w:noWrap w:val="0"/>
            <w:vAlign w:val="center"/>
          </w:tcPr>
          <w:p w14:paraId="4DC21D0E">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1876" w:type="dxa"/>
            <w:gridSpan w:val="3"/>
            <w:noWrap w:val="0"/>
            <w:vAlign w:val="center"/>
          </w:tcPr>
          <w:p w14:paraId="6C6F1E2F">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第二学历</w:t>
            </w:r>
          </w:p>
        </w:tc>
        <w:tc>
          <w:tcPr>
            <w:tcW w:w="2830" w:type="dxa"/>
            <w:noWrap w:val="0"/>
            <w:vAlign w:val="center"/>
          </w:tcPr>
          <w:p w14:paraId="2603E1B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2.5</w:t>
            </w:r>
          </w:p>
        </w:tc>
        <w:tc>
          <w:tcPr>
            <w:tcW w:w="2613" w:type="dxa"/>
            <w:noWrap w:val="0"/>
            <w:vAlign w:val="center"/>
          </w:tcPr>
          <w:p w14:paraId="66A3B5BD">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毕业证书</w:t>
            </w:r>
          </w:p>
        </w:tc>
      </w:tr>
      <w:tr w14:paraId="215C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9" w:hRule="atLeast"/>
          <w:jc w:val="center"/>
        </w:trPr>
        <w:tc>
          <w:tcPr>
            <w:tcW w:w="1325" w:type="dxa"/>
            <w:gridSpan w:val="2"/>
            <w:noWrap w:val="0"/>
            <w:vAlign w:val="center"/>
          </w:tcPr>
          <w:p w14:paraId="6503E528">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中专</w:t>
            </w:r>
          </w:p>
        </w:tc>
        <w:tc>
          <w:tcPr>
            <w:tcW w:w="1871" w:type="dxa"/>
            <w:gridSpan w:val="2"/>
            <w:noWrap w:val="0"/>
            <w:vAlign w:val="center"/>
          </w:tcPr>
          <w:p w14:paraId="434F12E9">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p>
        </w:tc>
        <w:tc>
          <w:tcPr>
            <w:tcW w:w="2830" w:type="dxa"/>
            <w:noWrap w:val="0"/>
            <w:vAlign w:val="center"/>
          </w:tcPr>
          <w:p w14:paraId="6850ED42">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2613" w:type="dxa"/>
            <w:noWrap w:val="0"/>
            <w:vAlign w:val="center"/>
          </w:tcPr>
          <w:p w14:paraId="19475A10">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毕业证书</w:t>
            </w:r>
          </w:p>
        </w:tc>
      </w:tr>
    </w:tbl>
    <w:p w14:paraId="7CD8F145">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w:t>
      </w:r>
    </w:p>
    <w:p w14:paraId="4D583886">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p w14:paraId="496E1CAB">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p w14:paraId="359E8D8F">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p w14:paraId="4FCB8F38">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表</w:t>
      </w: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z w:val="24"/>
          <w:szCs w:val="24"/>
          <w:lang w:eastAsia="zh-CN"/>
        </w:rPr>
        <w:t>工作年限和</w:t>
      </w:r>
      <w:r>
        <w:rPr>
          <w:rFonts w:hint="eastAsia" w:asciiTheme="minorEastAsia" w:hAnsiTheme="minorEastAsia" w:eastAsiaTheme="minorEastAsia" w:cstheme="minorEastAsia"/>
          <w:b/>
          <w:bCs/>
          <w:color w:val="auto"/>
          <w:sz w:val="24"/>
          <w:szCs w:val="24"/>
        </w:rPr>
        <w:t>专业技术职务</w:t>
      </w:r>
      <w:r>
        <w:rPr>
          <w:rFonts w:hint="eastAsia" w:asciiTheme="minorEastAsia" w:hAnsiTheme="minorEastAsia" w:eastAsiaTheme="minorEastAsia" w:cstheme="minorEastAsia"/>
          <w:b/>
          <w:bCs/>
          <w:color w:val="auto"/>
          <w:sz w:val="24"/>
          <w:szCs w:val="24"/>
          <w:lang w:eastAsia="zh-CN"/>
        </w:rPr>
        <w:t>资格</w:t>
      </w:r>
      <w:r>
        <w:rPr>
          <w:rFonts w:hint="eastAsia" w:asciiTheme="minorEastAsia" w:hAnsiTheme="minorEastAsia" w:eastAsiaTheme="minorEastAsia" w:cstheme="minorEastAsia"/>
          <w:b/>
          <w:bCs/>
          <w:color w:val="auto"/>
          <w:sz w:val="24"/>
          <w:szCs w:val="24"/>
        </w:rPr>
        <w:t>年限分值</w:t>
      </w:r>
    </w:p>
    <w:tbl>
      <w:tblPr>
        <w:tblStyle w:val="15"/>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302"/>
        <w:gridCol w:w="1996"/>
        <w:gridCol w:w="2713"/>
        <w:gridCol w:w="2607"/>
      </w:tblGrid>
      <w:tr w14:paraId="0B11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6" w:hRule="atLeast"/>
          <w:jc w:val="center"/>
        </w:trPr>
        <w:tc>
          <w:tcPr>
            <w:tcW w:w="3298" w:type="dxa"/>
            <w:gridSpan w:val="2"/>
            <w:noWrap w:val="0"/>
            <w:vAlign w:val="center"/>
          </w:tcPr>
          <w:p w14:paraId="0EC95692">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评分类型</w:t>
            </w:r>
          </w:p>
        </w:tc>
        <w:tc>
          <w:tcPr>
            <w:tcW w:w="2713" w:type="dxa"/>
            <w:noWrap w:val="0"/>
            <w:vAlign w:val="center"/>
          </w:tcPr>
          <w:p w14:paraId="5C51F999">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分值</w:t>
            </w:r>
          </w:p>
        </w:tc>
        <w:tc>
          <w:tcPr>
            <w:tcW w:w="2607" w:type="dxa"/>
            <w:noWrap w:val="0"/>
            <w:vAlign w:val="center"/>
          </w:tcPr>
          <w:p w14:paraId="12B8B33F">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备注</w:t>
            </w:r>
          </w:p>
        </w:tc>
      </w:tr>
      <w:tr w14:paraId="581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55" w:hRule="atLeast"/>
          <w:jc w:val="center"/>
        </w:trPr>
        <w:tc>
          <w:tcPr>
            <w:tcW w:w="1302" w:type="dxa"/>
            <w:noWrap w:val="0"/>
            <w:vAlign w:val="center"/>
          </w:tcPr>
          <w:p w14:paraId="441BCA6F">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工作年限</w:t>
            </w:r>
          </w:p>
        </w:tc>
        <w:tc>
          <w:tcPr>
            <w:tcW w:w="1996" w:type="dxa"/>
            <w:noWrap w:val="0"/>
            <w:vAlign w:val="center"/>
          </w:tcPr>
          <w:p w14:paraId="5A086F90">
            <w:pPr>
              <w:pageBreakBefore w:val="0"/>
              <w:tabs>
                <w:tab w:val="left" w:pos="690"/>
              </w:tabs>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自参加工作之日算起至</w:t>
            </w:r>
            <w:r>
              <w:rPr>
                <w:rFonts w:hint="eastAsia" w:asciiTheme="minorEastAsia" w:hAnsiTheme="minorEastAsia" w:eastAsiaTheme="minorEastAsia" w:cstheme="minorEastAsia"/>
                <w:b w:val="0"/>
                <w:bCs w:val="0"/>
                <w:color w:val="auto"/>
                <w:sz w:val="24"/>
                <w:szCs w:val="24"/>
                <w:lang w:eastAsia="zh-CN"/>
              </w:rPr>
              <w:t>2019年</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lang w:eastAsia="zh-CN"/>
              </w:rPr>
              <w:t>月31日</w:t>
            </w:r>
            <w:r>
              <w:rPr>
                <w:rFonts w:hint="eastAsia" w:asciiTheme="minorEastAsia" w:hAnsiTheme="minorEastAsia" w:eastAsiaTheme="minorEastAsia" w:cstheme="minorEastAsia"/>
                <w:b w:val="0"/>
                <w:bCs w:val="0"/>
                <w:color w:val="auto"/>
                <w:sz w:val="24"/>
                <w:szCs w:val="24"/>
              </w:rPr>
              <w:t>，每</w:t>
            </w:r>
            <w:r>
              <w:rPr>
                <w:rFonts w:hint="eastAsia" w:asciiTheme="minorEastAsia" w:hAnsiTheme="minorEastAsia" w:eastAsiaTheme="minorEastAsia" w:cstheme="minorEastAsia"/>
                <w:b w:val="0"/>
                <w:bCs w:val="0"/>
                <w:color w:val="auto"/>
                <w:sz w:val="24"/>
                <w:szCs w:val="24"/>
                <w:lang w:eastAsia="zh-CN"/>
              </w:rPr>
              <w:t>年</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分。</w:t>
            </w:r>
          </w:p>
        </w:tc>
        <w:tc>
          <w:tcPr>
            <w:tcW w:w="2713" w:type="dxa"/>
            <w:noWrap w:val="0"/>
            <w:vAlign w:val="center"/>
          </w:tcPr>
          <w:p w14:paraId="68EC0FBC">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lang w:eastAsia="zh-CN"/>
              </w:rPr>
            </w:pPr>
          </w:p>
        </w:tc>
        <w:tc>
          <w:tcPr>
            <w:tcW w:w="2607" w:type="dxa"/>
            <w:noWrap w:val="0"/>
            <w:vAlign w:val="center"/>
          </w:tcPr>
          <w:p w14:paraId="0E1A6C64">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lang w:eastAsia="zh-CN"/>
              </w:rPr>
            </w:pPr>
          </w:p>
        </w:tc>
      </w:tr>
      <w:tr w14:paraId="3773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81" w:hRule="atLeast"/>
          <w:jc w:val="center"/>
        </w:trPr>
        <w:tc>
          <w:tcPr>
            <w:tcW w:w="1302" w:type="dxa"/>
            <w:noWrap w:val="0"/>
            <w:vAlign w:val="center"/>
          </w:tcPr>
          <w:p w14:paraId="2802A8E5">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专业技术职务</w:t>
            </w:r>
            <w:r>
              <w:rPr>
                <w:rFonts w:hint="eastAsia" w:asciiTheme="minorEastAsia" w:hAnsiTheme="minorEastAsia" w:eastAsiaTheme="minorEastAsia" w:cstheme="minorEastAsia"/>
                <w:b w:val="0"/>
                <w:bCs w:val="0"/>
                <w:color w:val="auto"/>
                <w:sz w:val="24"/>
                <w:szCs w:val="24"/>
                <w:lang w:eastAsia="zh-CN"/>
              </w:rPr>
              <w:t>资格</w:t>
            </w:r>
            <w:r>
              <w:rPr>
                <w:rFonts w:hint="eastAsia" w:asciiTheme="minorEastAsia" w:hAnsiTheme="minorEastAsia" w:eastAsiaTheme="minorEastAsia" w:cstheme="minorEastAsia"/>
                <w:b w:val="0"/>
                <w:bCs w:val="0"/>
                <w:color w:val="auto"/>
                <w:sz w:val="24"/>
                <w:szCs w:val="24"/>
              </w:rPr>
              <w:t>年限</w:t>
            </w:r>
          </w:p>
        </w:tc>
        <w:tc>
          <w:tcPr>
            <w:tcW w:w="1996" w:type="dxa"/>
            <w:noWrap w:val="0"/>
            <w:vAlign w:val="center"/>
          </w:tcPr>
          <w:p w14:paraId="727A8B54">
            <w:pPr>
              <w:pageBreakBefore w:val="0"/>
              <w:tabs>
                <w:tab w:val="left" w:pos="690"/>
              </w:tabs>
              <w:kinsoku/>
              <w:overflowPunct/>
              <w:topLinePunct w:val="0"/>
              <w:bidi w:val="0"/>
              <w:spacing w:line="580" w:lineRule="exact"/>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取得专业技术职称资格</w:t>
            </w:r>
            <w:r>
              <w:rPr>
                <w:rFonts w:hint="eastAsia" w:asciiTheme="minorEastAsia" w:hAnsiTheme="minorEastAsia" w:eastAsiaTheme="minorEastAsia" w:cstheme="minorEastAsia"/>
                <w:b w:val="0"/>
                <w:bCs w:val="0"/>
                <w:color w:val="auto"/>
                <w:sz w:val="24"/>
                <w:szCs w:val="24"/>
              </w:rPr>
              <w:t>之日算起至</w:t>
            </w:r>
            <w:r>
              <w:rPr>
                <w:rFonts w:hint="eastAsia" w:asciiTheme="minorEastAsia" w:hAnsiTheme="minorEastAsia" w:eastAsiaTheme="minorEastAsia" w:cstheme="minorEastAsia"/>
                <w:b w:val="0"/>
                <w:bCs w:val="0"/>
                <w:color w:val="auto"/>
                <w:sz w:val="24"/>
                <w:szCs w:val="24"/>
                <w:lang w:eastAsia="zh-CN"/>
              </w:rPr>
              <w:t>2019年</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lang w:eastAsia="zh-CN"/>
              </w:rPr>
              <w:t>月31日，每年</w:t>
            </w:r>
            <w:r>
              <w:rPr>
                <w:rFonts w:hint="eastAsia" w:asciiTheme="minorEastAsia" w:hAnsiTheme="minorEastAsia" w:eastAsiaTheme="minorEastAsia" w:cstheme="minorEastAsia"/>
                <w:b w:val="0"/>
                <w:bCs w:val="0"/>
                <w:color w:val="auto"/>
                <w:sz w:val="24"/>
                <w:szCs w:val="24"/>
              </w:rPr>
              <w:t>1分</w:t>
            </w:r>
            <w:r>
              <w:rPr>
                <w:rFonts w:hint="eastAsia" w:asciiTheme="minorEastAsia" w:hAnsiTheme="minorEastAsia" w:eastAsiaTheme="minorEastAsia" w:cstheme="minorEastAsia"/>
                <w:b w:val="0"/>
                <w:bCs w:val="0"/>
                <w:color w:val="auto"/>
                <w:sz w:val="24"/>
                <w:szCs w:val="24"/>
                <w:lang w:eastAsia="zh-CN"/>
              </w:rPr>
              <w:t>。</w:t>
            </w:r>
          </w:p>
        </w:tc>
        <w:tc>
          <w:tcPr>
            <w:tcW w:w="2713" w:type="dxa"/>
            <w:noWrap w:val="0"/>
            <w:vAlign w:val="center"/>
          </w:tcPr>
          <w:p w14:paraId="59B2C2DD">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lang w:eastAsia="zh-CN"/>
              </w:rPr>
            </w:pPr>
          </w:p>
        </w:tc>
        <w:tc>
          <w:tcPr>
            <w:tcW w:w="2607" w:type="dxa"/>
            <w:noWrap w:val="0"/>
            <w:vAlign w:val="center"/>
          </w:tcPr>
          <w:p w14:paraId="065A7405">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rPr>
            </w:pPr>
          </w:p>
        </w:tc>
      </w:tr>
    </w:tbl>
    <w:p w14:paraId="41A21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2"/>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第七条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本制度将做市医疗保障系统事业单位</w:t>
      </w:r>
      <w:r>
        <w:rPr>
          <w:rFonts w:hint="eastAsia" w:asciiTheme="minorEastAsia" w:hAnsiTheme="minorEastAsia" w:eastAsiaTheme="minorEastAsia" w:cstheme="minorEastAsia"/>
          <w:b w:val="0"/>
          <w:bCs w:val="0"/>
          <w:color w:val="auto"/>
          <w:sz w:val="24"/>
          <w:szCs w:val="24"/>
        </w:rPr>
        <w:t>专业技术人员</w:t>
      </w:r>
      <w:r>
        <w:rPr>
          <w:rFonts w:hint="eastAsia" w:asciiTheme="minorEastAsia" w:hAnsiTheme="minorEastAsia" w:eastAsiaTheme="minorEastAsia" w:cstheme="minorEastAsia"/>
          <w:b w:val="0"/>
          <w:bCs w:val="0"/>
          <w:color w:val="auto"/>
          <w:sz w:val="24"/>
          <w:szCs w:val="24"/>
          <w:lang w:eastAsia="zh-CN"/>
        </w:rPr>
        <w:t>岗位聘用的依据。</w:t>
      </w:r>
    </w:p>
    <w:p w14:paraId="2334BE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2"/>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第八条 </w:t>
      </w:r>
      <w:r>
        <w:rPr>
          <w:rStyle w:val="18"/>
          <w:rFonts w:hint="eastAsia" w:asciiTheme="minorEastAsia" w:hAnsiTheme="minorEastAsia" w:eastAsiaTheme="minorEastAsia" w:cstheme="minorEastAsia"/>
          <w:b w:val="0"/>
          <w:bCs w:val="0"/>
          <w:color w:val="auto"/>
          <w:sz w:val="24"/>
          <w:szCs w:val="24"/>
        </w:rPr>
        <w:t>本制度自发布之日起实施。</w:t>
      </w: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w:t>
      </w:r>
    </w:p>
    <w:p w14:paraId="186D47D8">
      <w:pPr>
        <w:jc w:val="both"/>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18D58032">
      <w:pPr>
        <w:bidi w:val="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权力运行方面的管理制度</w:t>
      </w:r>
    </w:p>
    <w:p w14:paraId="4E33D5C6">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基本医疗保险定点医药机构协议管理制度</w:t>
      </w:r>
    </w:p>
    <w:p w14:paraId="2E8CB232">
      <w:pPr>
        <w:pStyle w:val="14"/>
        <w:pageBreakBefore w:val="0"/>
        <w:kinsoku/>
        <w:overflowPunct/>
        <w:topLinePunct w:val="0"/>
        <w:bidi w:val="0"/>
        <w:spacing w:before="0" w:beforeAutospacing="0" w:after="0" w:afterAutospacing="0" w:line="580" w:lineRule="exact"/>
        <w:ind w:left="0" w:firstLine="2409" w:firstLineChars="10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第一章  总则</w:t>
      </w:r>
    </w:p>
    <w:p w14:paraId="7CF70D9C">
      <w:pPr>
        <w:pageBreakBefore w:val="0"/>
        <w:kinsoku/>
        <w:wordWrap w:val="0"/>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为进一步加强基本医疗保险定点医药机构医疗保险服务管理，按照上级有关文件要求，结合白城市医疗保障局工作实际，制定本制度。</w:t>
      </w:r>
    </w:p>
    <w:p w14:paraId="058EF7B6">
      <w:pPr>
        <w:pStyle w:val="14"/>
        <w:pageBreakBefore w:val="0"/>
        <w:kinsoku/>
        <w:wordWrap w:val="0"/>
        <w:overflowPunct/>
        <w:topLinePunct w:val="0"/>
        <w:bidi w:val="0"/>
        <w:spacing w:before="0" w:beforeAutospacing="0" w:after="0" w:afterAutospacing="0"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第二条</w:t>
      </w:r>
      <w:r>
        <w:rPr>
          <w:rStyle w:val="18"/>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rPr>
        <w:t>定点医药机构实行协议管理，是建立健全医疗保险多元监督体系的基础，按照公平公开、强化监管、优化服务的要求，遵循供需平衡、择优选择、鼓励竞争、动态管理的原则开展协议管理工作。</w:t>
      </w:r>
    </w:p>
    <w:p w14:paraId="6E3F8498">
      <w:pPr>
        <w:pStyle w:val="14"/>
        <w:pageBreakBefore w:val="0"/>
        <w:kinsoku/>
        <w:wordWrap w:val="0"/>
        <w:overflowPunct/>
        <w:topLinePunct w:val="0"/>
        <w:bidi w:val="0"/>
        <w:spacing w:before="0" w:beforeAutospacing="0" w:after="0" w:afterAutospacing="0"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 xml:space="preserve">第三条 </w:t>
      </w:r>
      <w:r>
        <w:rPr>
          <w:rFonts w:hint="eastAsia" w:asciiTheme="minorEastAsia" w:hAnsiTheme="minorEastAsia" w:eastAsiaTheme="minorEastAsia" w:cstheme="minorEastAsia"/>
          <w:b w:val="0"/>
          <w:bCs w:val="0"/>
          <w:color w:val="auto"/>
          <w:sz w:val="24"/>
          <w:szCs w:val="24"/>
        </w:rPr>
        <w:t>协议管理包括定点医药机构签约申请、考察评估、协议商判、结果公示、协议签订、监督考核、费用拨付等工作内容。市社会医疗保险管理局要针对定点医药机构的不同类型、级别、服务范围、服务规模、服务质量、服务特色等进行分类管理。</w:t>
      </w:r>
    </w:p>
    <w:p w14:paraId="35E3D312">
      <w:pPr>
        <w:pStyle w:val="14"/>
        <w:pageBreakBefore w:val="0"/>
        <w:kinsoku/>
        <w:wordWrap w:val="0"/>
        <w:overflowPunct/>
        <w:topLinePunct w:val="0"/>
        <w:bidi w:val="0"/>
        <w:spacing w:before="0" w:beforeAutospacing="0" w:after="0" w:afterAutospacing="0"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第四条</w:t>
      </w:r>
      <w:r>
        <w:rPr>
          <w:rFonts w:hint="eastAsia" w:asciiTheme="minorEastAsia" w:hAnsiTheme="minorEastAsia" w:eastAsiaTheme="minorEastAsia" w:cstheme="minorEastAsia"/>
          <w:b w:val="0"/>
          <w:bCs w:val="0"/>
          <w:color w:val="auto"/>
          <w:sz w:val="24"/>
          <w:szCs w:val="24"/>
        </w:rPr>
        <w:t xml:space="preserve"> 市医疗保障部门负责市本级定点医药机构申请条件和定点医药机构评估政策的制定，对市社会医疗保险管理局及定点医药机构签订和履行协议情况进行行政监督。市医疗保障部门根据工作需要建立由相关专业人员组成的医疗保险专家库，受市社会医疗保险管理局委托组成专家咨询委员会</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为定点医药机构协议管理提供履约能力评估等服务，在专家库中，采取公开、分类、随机抽取方式，产生单数人数的咨询评估专家，作为当次专家咨询委员会的组成人员。</w:t>
      </w:r>
    </w:p>
    <w:p w14:paraId="70A560D1">
      <w:pPr>
        <w:pStyle w:val="14"/>
        <w:pageBreakBefore w:val="0"/>
        <w:kinsoku/>
        <w:overflowPunct/>
        <w:topLinePunct w:val="0"/>
        <w:bidi w:val="0"/>
        <w:spacing w:before="0" w:beforeAutospacing="0" w:after="0" w:afterAutospacing="0" w:line="580" w:lineRule="exact"/>
        <w:ind w:left="0" w:firstLine="2168" w:firstLineChars="9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第二章  申请受理</w:t>
      </w:r>
    </w:p>
    <w:p w14:paraId="115F505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第五条</w:t>
      </w:r>
      <w:r>
        <w:rPr>
          <w:rFonts w:hint="eastAsia" w:asciiTheme="minorEastAsia" w:hAnsiTheme="minorEastAsia" w:eastAsiaTheme="minorEastAsia" w:cstheme="minorEastAsia"/>
          <w:b w:val="0"/>
          <w:bCs w:val="0"/>
          <w:color w:val="auto"/>
          <w:sz w:val="24"/>
          <w:szCs w:val="24"/>
        </w:rPr>
        <w:t xml:space="preserve"> 医疗保障部门根据参保人员居住和工作场所分布、医疗机构和零售药店布局，结合城乡发展规划和医疗保险管理能力</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制定定点医药机构长期规划，根据参保人员需求适时制定定点医药机构近期规划。定点医药机构规划在医疗保障局微信公众号公布。</w:t>
      </w:r>
    </w:p>
    <w:p w14:paraId="6661AF0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 xml:space="preserve">第六条 </w:t>
      </w:r>
      <w:r>
        <w:rPr>
          <w:rFonts w:hint="eastAsia" w:asciiTheme="minorEastAsia" w:hAnsiTheme="minorEastAsia" w:eastAsiaTheme="minorEastAsia" w:cstheme="minorEastAsia"/>
          <w:b w:val="0"/>
          <w:bCs w:val="0"/>
          <w:color w:val="auto"/>
          <w:sz w:val="24"/>
          <w:szCs w:val="24"/>
        </w:rPr>
        <w:t>市社会医疗保险管理局根据定点医药机构规划、医疗保险基金支撑能力、参保人员需求和医疗保险经办管理能力确定新增定点医药机构的区域、批次和数量，撰写年度签约计划并报市医疗保障部门备案。</w:t>
      </w:r>
    </w:p>
    <w:p w14:paraId="4C8AC6B4">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第七条</w:t>
      </w:r>
      <w:r>
        <w:rPr>
          <w:rFonts w:hint="eastAsia" w:asciiTheme="minorEastAsia" w:hAnsiTheme="minorEastAsia" w:eastAsiaTheme="minorEastAsia" w:cstheme="minorEastAsia"/>
          <w:b w:val="0"/>
          <w:bCs w:val="0"/>
          <w:color w:val="auto"/>
          <w:sz w:val="24"/>
          <w:szCs w:val="24"/>
        </w:rPr>
        <w:t xml:space="preserve"> 根据签约计划，市社会医疗保险管理局通过市医疗保障部门微信公众号发布新增定点医药机构公告，明确受理条件、所需材料、受理时间、受理地点、新增数量等内容。市社会医疗保险管理局对申请签订医疗保险服务协议的医药机构做好政策解释和办事程序的宣讲工作。</w:t>
      </w:r>
    </w:p>
    <w:p w14:paraId="4A655A2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第八条</w:t>
      </w:r>
      <w:r>
        <w:rPr>
          <w:rFonts w:hint="eastAsia" w:asciiTheme="minorEastAsia" w:hAnsiTheme="minorEastAsia" w:eastAsiaTheme="minorEastAsia" w:cstheme="minorEastAsia"/>
          <w:b w:val="0"/>
          <w:bCs w:val="0"/>
          <w:color w:val="auto"/>
          <w:sz w:val="24"/>
          <w:szCs w:val="24"/>
        </w:rPr>
        <w:t xml:space="preserve"> 定点医药机构申请条件按照《关于印发吉林省城镇基本医疗保险定点医药机构基本条件（试行）的通知》（吉人社办字〔2016〕22号）规定执行。</w:t>
      </w:r>
    </w:p>
    <w:p w14:paraId="7D5E860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第九条</w:t>
      </w:r>
      <w:r>
        <w:rPr>
          <w:rFonts w:hint="eastAsia" w:asciiTheme="minorEastAsia" w:hAnsiTheme="minorEastAsia" w:eastAsiaTheme="minorEastAsia" w:cstheme="minorEastAsia"/>
          <w:b w:val="0"/>
          <w:bCs w:val="0"/>
          <w:color w:val="auto"/>
          <w:sz w:val="24"/>
          <w:szCs w:val="24"/>
        </w:rPr>
        <w:t xml:space="preserve"> 市社会医疗保险管理局可以定期、集中网上受理签约申请。相关程序如下：</w:t>
      </w:r>
    </w:p>
    <w:p w14:paraId="2F5CE50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受理申请。市社会医疗保险管理局工作人员应及时对申请单位申请的材料进行登记。对材料齐全的，应在收到申请材料之日回复；申请材料不齐全的，应当一次性告知申请人需要补正的材料。</w:t>
      </w:r>
    </w:p>
    <w:p w14:paraId="7348CFC8">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内部联查。市社会医疗保险管理局应主动与相关部门沟通，对申请签订服务协议的医药机构情况进行核查。同时按照医疗保障局规定的申请条件、规划布局进行签约申请材料的初审，并填写《吉林省基本医疗保险定点医药机构材料初审单》、《吉林省基本医疗保险定点零售药店材料初审单》，初审通过的由市社会医疗保险管理局委托医疗保险专家咨询委员会进行评估；初审未通过的应在15个工作日通知申请单位并说明原因。</w:t>
      </w:r>
    </w:p>
    <w:p w14:paraId="5A41ED1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7FB7101A">
      <w:pPr>
        <w:pageBreakBefore w:val="0"/>
        <w:kinsoku/>
        <w:overflowPunct/>
        <w:topLinePunct w:val="0"/>
        <w:bidi w:val="0"/>
        <w:spacing w:line="580" w:lineRule="exact"/>
        <w:ind w:left="0" w:firstLine="2409" w:firstLineChars="10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第三章  考察评估</w:t>
      </w:r>
    </w:p>
    <w:p w14:paraId="68FE327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第十条</w:t>
      </w:r>
      <w:r>
        <w:rPr>
          <w:rFonts w:hint="eastAsia" w:asciiTheme="minorEastAsia" w:hAnsiTheme="minorEastAsia" w:eastAsiaTheme="minorEastAsia" w:cstheme="minorEastAsia"/>
          <w:b w:val="0"/>
          <w:bCs w:val="0"/>
          <w:color w:val="auto"/>
          <w:sz w:val="24"/>
          <w:szCs w:val="24"/>
        </w:rPr>
        <w:t xml:space="preserve"> 市社会医疗保险管理局考察申请单位的实际地址、房屋租赁合同或权属、药品经营单位营业面积、从业人员职业情况和参保情况、医疗机构床位数量、科室设置、医技设备、计算机网络系统、医护药人员执业情况等。考察人员现场核实申请资料，填写《吉林省基本医疗保险定点医疗机构现场考察记录单》、《吉林省基本医疗保险定点零售药店现场考察记录单》，并由申请单位签单确认。记录单及考察时所收集的电子、纸质、视频、图片等资料，在评估时应一并递交专家审阅。</w:t>
      </w:r>
    </w:p>
    <w:p w14:paraId="324D45DD">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第十一条</w:t>
      </w:r>
      <w:r>
        <w:rPr>
          <w:rFonts w:hint="eastAsia" w:asciiTheme="minorEastAsia" w:hAnsiTheme="minorEastAsia" w:eastAsiaTheme="minorEastAsia" w:cstheme="minorEastAsia"/>
          <w:b w:val="0"/>
          <w:bCs w:val="0"/>
          <w:color w:val="auto"/>
          <w:sz w:val="24"/>
          <w:szCs w:val="24"/>
        </w:rPr>
        <w:t xml:space="preserve"> 每次评估时，专家咨询委员会根据市社会医疗保险管理局提出定点医药机构类别、机构服务特色、数量、布局的需求制定评估标准和评估程序。评估标准和评估程序应与市社会医疗保险管理局商议征得认可，行政部门应全程监督，市医疗保障局和市社会医疗保险管理局工作人员不得以专家身份直接参与评估工作。</w:t>
      </w:r>
    </w:p>
    <w:p w14:paraId="0E0D1A4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第十二条</w:t>
      </w:r>
      <w:r>
        <w:rPr>
          <w:rFonts w:hint="eastAsia" w:asciiTheme="minorEastAsia" w:hAnsiTheme="minorEastAsia" w:eastAsiaTheme="minorEastAsia" w:cstheme="minorEastAsia"/>
          <w:b w:val="0"/>
          <w:bCs w:val="0"/>
          <w:color w:val="auto"/>
          <w:sz w:val="24"/>
          <w:szCs w:val="24"/>
        </w:rPr>
        <w:t xml:space="preserve"> 评估标准应对医药机构资格、布局、场地设施、执业范围、科室设置、人员配备、管理能力、特色服务、服务承诺等量化赋分。</w:t>
      </w:r>
    </w:p>
    <w:p w14:paraId="18AD6FA8">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第十三条</w:t>
      </w:r>
      <w:r>
        <w:rPr>
          <w:rStyle w:val="18"/>
          <w:rFonts w:hint="eastAsia" w:asciiTheme="minorEastAsia" w:hAnsiTheme="minorEastAsia" w:eastAsiaTheme="minorEastAsia" w:cstheme="minorEastAsia"/>
          <w:b w:val="0"/>
          <w:bCs w:val="0"/>
          <w:color w:val="auto"/>
          <w:sz w:val="24"/>
          <w:szCs w:val="24"/>
        </w:rPr>
        <w:t xml:space="preserve"> 结果公示。市社会医疗保险管理局接到专家咨询委员会办公室书面反馈报告后，应将评估报告向社会公示。将拟签协议的定点医药机构名单在医疗保障局微信公众号上向社会公示。公示期间接到举报投诉的，需认真进行调查核实，情况属实的，不得签订服务协议。</w:t>
      </w:r>
    </w:p>
    <w:p w14:paraId="752BFBE5">
      <w:pPr>
        <w:pStyle w:val="7"/>
        <w:keepNext w:val="0"/>
        <w:keepLines w:val="0"/>
        <w:pageBreakBefore w:val="0"/>
        <w:widowControl w:val="0"/>
        <w:kinsoku/>
        <w:wordWrap/>
        <w:overflowPunct/>
        <w:topLinePunct w:val="0"/>
        <w:autoSpaceDE/>
        <w:autoSpaceDN w:val="0"/>
        <w:bidi w:val="0"/>
        <w:adjustRightInd/>
        <w:snapToGrid/>
        <w:spacing w:line="240" w:lineRule="exact"/>
        <w:textAlignment w:val="bottom"/>
        <w:rPr>
          <w:rFonts w:hint="eastAsia" w:asciiTheme="minorEastAsia" w:hAnsiTheme="minorEastAsia" w:eastAsiaTheme="minorEastAsia" w:cstheme="minorEastAsia"/>
          <w:b w:val="0"/>
          <w:bCs w:val="0"/>
          <w:sz w:val="24"/>
          <w:szCs w:val="24"/>
        </w:rPr>
      </w:pPr>
    </w:p>
    <w:p w14:paraId="1515BB84">
      <w:pPr>
        <w:pStyle w:val="14"/>
        <w:pageBreakBefore w:val="0"/>
        <w:kinsoku/>
        <w:overflowPunct/>
        <w:topLinePunct w:val="0"/>
        <w:bidi w:val="0"/>
        <w:spacing w:before="0" w:beforeAutospacing="0" w:after="0" w:afterAutospacing="0" w:line="580" w:lineRule="exact"/>
        <w:ind w:left="0" w:leftChars="0" w:right="0" w:rightChars="0" w:firstLine="0" w:firstLineChars="0"/>
        <w:jc w:val="center"/>
        <w:rPr>
          <w:rStyle w:val="18"/>
          <w:rFonts w:hint="eastAsia" w:asciiTheme="minorEastAsia" w:hAnsiTheme="minorEastAsia" w:eastAsiaTheme="minorEastAsia" w:cstheme="minorEastAsia"/>
          <w:b/>
          <w:bCs/>
          <w:color w:val="auto"/>
          <w:sz w:val="24"/>
          <w:szCs w:val="24"/>
        </w:rPr>
      </w:pPr>
      <w:r>
        <w:rPr>
          <w:rStyle w:val="18"/>
          <w:rFonts w:hint="eastAsia" w:asciiTheme="minorEastAsia" w:hAnsiTheme="minorEastAsia" w:eastAsiaTheme="minorEastAsia" w:cstheme="minorEastAsia"/>
          <w:b/>
          <w:bCs/>
          <w:color w:val="auto"/>
          <w:sz w:val="24"/>
          <w:szCs w:val="24"/>
        </w:rPr>
        <w:t>第四章  谈判签约</w:t>
      </w:r>
    </w:p>
    <w:p w14:paraId="649A2B59">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第十四条</w:t>
      </w:r>
      <w:r>
        <w:rPr>
          <w:rStyle w:val="18"/>
          <w:rFonts w:hint="eastAsia" w:asciiTheme="minorEastAsia" w:hAnsiTheme="minorEastAsia" w:eastAsiaTheme="minorEastAsia" w:cstheme="minorEastAsia"/>
          <w:b w:val="0"/>
          <w:bCs w:val="0"/>
          <w:color w:val="auto"/>
          <w:sz w:val="24"/>
          <w:szCs w:val="24"/>
        </w:rPr>
        <w:t xml:space="preserve"> 市社会医疗保险管理局根据全省统一协议文本，结合白城市本级实际、分别制定定点零售药店、社区门诊、医疗机构协议文本。协议内容应包括服务人群、服务范围、服务内容、结算方式、医疗保险服务质量、信息系统建设、数据传输质量、医疗保险管理制度、医疗保险费用审核、日常管理和考核、违约责任、协议时效、争议处理等。</w:t>
      </w:r>
    </w:p>
    <w:p w14:paraId="481AB1E8">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第十五条</w:t>
      </w:r>
      <w:r>
        <w:rPr>
          <w:rStyle w:val="18"/>
          <w:rFonts w:hint="eastAsia" w:asciiTheme="minorEastAsia" w:hAnsiTheme="minorEastAsia" w:eastAsiaTheme="minorEastAsia" w:cstheme="minorEastAsia"/>
          <w:b w:val="0"/>
          <w:bCs w:val="0"/>
          <w:color w:val="auto"/>
          <w:sz w:val="24"/>
          <w:szCs w:val="24"/>
        </w:rPr>
        <w:t xml:space="preserve"> 市社会医疗保险管理局与验收通过的新增医药机构签订的服务协议，由市社会医疗保险管理局在30个工作日内报同级医疗保障部门备案。因医药机构原因60个工作日内未能签订定点服务协议的视作自动放弃。因定点医药机构违规或自行退出，导致该区域或该类别定点医药机构无法满足需要时，市社会医疗保险管理局可针对该区域或该类别医药机构组织专项签约。</w:t>
      </w:r>
    </w:p>
    <w:p w14:paraId="65F478F0">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第十六条</w:t>
      </w:r>
      <w:r>
        <w:rPr>
          <w:rStyle w:val="18"/>
          <w:rFonts w:hint="eastAsia" w:asciiTheme="minorEastAsia" w:hAnsiTheme="minorEastAsia" w:eastAsiaTheme="minorEastAsia" w:cstheme="minorEastAsia"/>
          <w:b w:val="0"/>
          <w:bCs w:val="0"/>
          <w:color w:val="auto"/>
          <w:sz w:val="24"/>
          <w:szCs w:val="24"/>
        </w:rPr>
        <w:t xml:space="preserve"> 已经签约服务协议并提供医疗保险服务的定点医药机构年度协议期满仍具备履约能力，且愿意继续提供医疗保险服务的定点医药机构，应当提出续签服务协议申请，同时提供相关资质证明，于年初与市社会医疗保险管理局签订服务协议，协议有效期限一年。</w:t>
      </w:r>
    </w:p>
    <w:p w14:paraId="73BB7758">
      <w:pPr>
        <w:pStyle w:val="7"/>
        <w:keepNext w:val="0"/>
        <w:keepLines w:val="0"/>
        <w:pageBreakBefore w:val="0"/>
        <w:widowControl w:val="0"/>
        <w:kinsoku/>
        <w:wordWrap/>
        <w:overflowPunct/>
        <w:topLinePunct w:val="0"/>
        <w:autoSpaceDE/>
        <w:autoSpaceDN w:val="0"/>
        <w:bidi w:val="0"/>
        <w:adjustRightInd/>
        <w:snapToGrid/>
        <w:spacing w:line="240" w:lineRule="exact"/>
        <w:textAlignment w:val="bottom"/>
        <w:rPr>
          <w:rFonts w:hint="eastAsia" w:asciiTheme="minorEastAsia" w:hAnsiTheme="minorEastAsia" w:eastAsiaTheme="minorEastAsia" w:cstheme="minorEastAsia"/>
          <w:b w:val="0"/>
          <w:bCs w:val="0"/>
          <w:sz w:val="24"/>
          <w:szCs w:val="24"/>
        </w:rPr>
      </w:pPr>
    </w:p>
    <w:p w14:paraId="4AE3B087">
      <w:pPr>
        <w:pStyle w:val="14"/>
        <w:pageBreakBefore w:val="0"/>
        <w:kinsoku/>
        <w:overflowPunct/>
        <w:topLinePunct w:val="0"/>
        <w:bidi w:val="0"/>
        <w:spacing w:before="0" w:beforeAutospacing="0" w:after="0" w:afterAutospacing="0" w:line="580" w:lineRule="exact"/>
        <w:ind w:left="0" w:leftChars="0" w:right="0" w:rightChars="0" w:firstLine="0" w:firstLineChars="0"/>
        <w:jc w:val="center"/>
        <w:rPr>
          <w:rStyle w:val="18"/>
          <w:rFonts w:hint="eastAsia" w:asciiTheme="minorEastAsia" w:hAnsiTheme="minorEastAsia" w:eastAsiaTheme="minorEastAsia" w:cstheme="minorEastAsia"/>
          <w:b/>
          <w:bCs/>
          <w:color w:val="auto"/>
          <w:sz w:val="24"/>
          <w:szCs w:val="24"/>
        </w:rPr>
      </w:pPr>
      <w:r>
        <w:rPr>
          <w:rStyle w:val="18"/>
          <w:rFonts w:hint="eastAsia" w:asciiTheme="minorEastAsia" w:hAnsiTheme="minorEastAsia" w:eastAsiaTheme="minorEastAsia" w:cstheme="minorEastAsia"/>
          <w:b/>
          <w:bCs/>
          <w:color w:val="auto"/>
          <w:sz w:val="24"/>
          <w:szCs w:val="24"/>
        </w:rPr>
        <w:t>第五章  协议管理</w:t>
      </w:r>
    </w:p>
    <w:p w14:paraId="484E8875">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第十七条</w:t>
      </w:r>
      <w:r>
        <w:rPr>
          <w:rStyle w:val="18"/>
          <w:rFonts w:hint="eastAsia" w:asciiTheme="minorEastAsia" w:hAnsiTheme="minorEastAsia" w:eastAsiaTheme="minorEastAsia" w:cstheme="minorEastAsia"/>
          <w:b w:val="0"/>
          <w:bCs w:val="0"/>
          <w:color w:val="auto"/>
          <w:sz w:val="24"/>
          <w:szCs w:val="24"/>
        </w:rPr>
        <w:t xml:space="preserve"> 市社会医疗保险管理局根据协议约定，加强对定点医药机构的宣传、教育、培训，随时接受咨询。对定点医药机构的协议履行情况进行日常管理和考核。内容包括：就医管理、目录管理、付费管理、信息管理、药品管理等。</w:t>
      </w:r>
    </w:p>
    <w:p w14:paraId="115B7D8B">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第十八条</w:t>
      </w:r>
      <w:r>
        <w:rPr>
          <w:rStyle w:val="18"/>
          <w:rFonts w:hint="eastAsia" w:asciiTheme="minorEastAsia" w:hAnsiTheme="minorEastAsia" w:eastAsiaTheme="minorEastAsia" w:cstheme="minorEastAsia"/>
          <w:b w:val="0"/>
          <w:bCs w:val="0"/>
          <w:color w:val="auto"/>
          <w:sz w:val="24"/>
          <w:szCs w:val="24"/>
        </w:rPr>
        <w:t xml:space="preserve"> 市社会医疗保险管理局对违反协议规定的定点医药机构，按照服务协议，根据情节的轻重，相应采取约谈、拒付费用、暂停拨付、扣减保证金、暂停医保服务限期整改、终止协议等措施。</w:t>
      </w:r>
    </w:p>
    <w:p w14:paraId="1DB81658">
      <w:pPr>
        <w:pStyle w:val="7"/>
        <w:keepNext w:val="0"/>
        <w:keepLines w:val="0"/>
        <w:pageBreakBefore w:val="0"/>
        <w:widowControl w:val="0"/>
        <w:kinsoku/>
        <w:wordWrap/>
        <w:overflowPunct/>
        <w:topLinePunct w:val="0"/>
        <w:autoSpaceDE/>
        <w:autoSpaceDN w:val="0"/>
        <w:bidi w:val="0"/>
        <w:adjustRightInd/>
        <w:snapToGrid/>
        <w:spacing w:line="240" w:lineRule="exact"/>
        <w:textAlignment w:val="bottom"/>
        <w:rPr>
          <w:rFonts w:hint="eastAsia" w:asciiTheme="minorEastAsia" w:hAnsiTheme="minorEastAsia" w:eastAsiaTheme="minorEastAsia" w:cstheme="minorEastAsia"/>
          <w:b w:val="0"/>
          <w:bCs w:val="0"/>
          <w:sz w:val="24"/>
          <w:szCs w:val="24"/>
        </w:rPr>
      </w:pPr>
    </w:p>
    <w:p w14:paraId="12867700">
      <w:pPr>
        <w:pStyle w:val="14"/>
        <w:pageBreakBefore w:val="0"/>
        <w:kinsoku/>
        <w:overflowPunct/>
        <w:topLinePunct w:val="0"/>
        <w:bidi w:val="0"/>
        <w:spacing w:before="0" w:beforeAutospacing="0" w:after="0" w:afterAutospacing="0" w:line="580" w:lineRule="exact"/>
        <w:ind w:left="0" w:leftChars="0" w:right="0" w:rightChars="0" w:firstLine="0" w:firstLineChars="0"/>
        <w:jc w:val="center"/>
        <w:rPr>
          <w:rStyle w:val="18"/>
          <w:rFonts w:hint="eastAsia" w:asciiTheme="minorEastAsia" w:hAnsiTheme="minorEastAsia" w:eastAsiaTheme="minorEastAsia" w:cstheme="minorEastAsia"/>
          <w:b/>
          <w:bCs/>
          <w:color w:val="auto"/>
          <w:sz w:val="24"/>
          <w:szCs w:val="24"/>
        </w:rPr>
      </w:pPr>
      <w:r>
        <w:rPr>
          <w:rStyle w:val="18"/>
          <w:rFonts w:hint="eastAsia" w:asciiTheme="minorEastAsia" w:hAnsiTheme="minorEastAsia" w:eastAsiaTheme="minorEastAsia" w:cstheme="minorEastAsia"/>
          <w:b/>
          <w:bCs/>
          <w:color w:val="auto"/>
          <w:sz w:val="24"/>
          <w:szCs w:val="24"/>
        </w:rPr>
        <w:t>第六章  协议变更、暂停和终止</w:t>
      </w:r>
    </w:p>
    <w:p w14:paraId="47D38A65">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第十九</w:t>
      </w:r>
      <w:r>
        <w:rPr>
          <w:rStyle w:val="18"/>
          <w:rFonts w:hint="eastAsia" w:asciiTheme="minorEastAsia" w:hAnsiTheme="minorEastAsia" w:eastAsiaTheme="minorEastAsia" w:cstheme="minorEastAsia"/>
          <w:b w:val="0"/>
          <w:bCs w:val="0"/>
          <w:color w:val="auto"/>
          <w:sz w:val="24"/>
          <w:szCs w:val="24"/>
        </w:rPr>
        <w:t>条 市社会医疗保险管理局应对定点医药机构的信息进行管理，定期开展定点医药机构基本信息审核。如定点医药机构发生地址、法定代表人、级别、合并重组等重要信息变更的，应依据相关规定和协议条款进行管理，必要时应先暂停协议并组织重新评估，根据评估结果决定是否继续履行协议。</w:t>
      </w:r>
    </w:p>
    <w:p w14:paraId="507C3A2A">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第二十条</w:t>
      </w:r>
      <w:r>
        <w:rPr>
          <w:rStyle w:val="18"/>
          <w:rFonts w:hint="eastAsia" w:asciiTheme="minorEastAsia" w:hAnsiTheme="minorEastAsia" w:eastAsiaTheme="minorEastAsia" w:cstheme="minorEastAsia"/>
          <w:b w:val="0"/>
          <w:bCs w:val="0"/>
          <w:color w:val="auto"/>
          <w:sz w:val="24"/>
          <w:szCs w:val="24"/>
        </w:rPr>
        <w:t xml:space="preserve"> 市社会医疗保险管理局对定点医药机构名称、法定代表人、地址、单位类别、机构等级变更之一的应对其进行申报材料审核和实地考查，符合规定的可以予以变更；机构名称和法人同时发生变更以及地址、诊疗科目、经营范围发生变更的应委托专家咨询委员会评估履约能力后办理变更手续，市社会医疗保险管理局应在30日内向市医疗保障局备案。</w:t>
      </w:r>
    </w:p>
    <w:p w14:paraId="2740FB50">
      <w:pPr>
        <w:pStyle w:val="7"/>
        <w:keepNext w:val="0"/>
        <w:keepLines w:val="0"/>
        <w:pageBreakBefore w:val="0"/>
        <w:widowControl w:val="0"/>
        <w:kinsoku/>
        <w:wordWrap/>
        <w:overflowPunct/>
        <w:topLinePunct w:val="0"/>
        <w:autoSpaceDE/>
        <w:autoSpaceDN w:val="0"/>
        <w:bidi w:val="0"/>
        <w:adjustRightInd/>
        <w:snapToGrid/>
        <w:spacing w:line="240" w:lineRule="exact"/>
        <w:textAlignment w:val="bottom"/>
        <w:rPr>
          <w:rFonts w:hint="eastAsia" w:asciiTheme="minorEastAsia" w:hAnsiTheme="minorEastAsia" w:eastAsiaTheme="minorEastAsia" w:cstheme="minorEastAsia"/>
          <w:b w:val="0"/>
          <w:bCs w:val="0"/>
          <w:sz w:val="24"/>
          <w:szCs w:val="24"/>
        </w:rPr>
      </w:pPr>
    </w:p>
    <w:p w14:paraId="243002B0">
      <w:pPr>
        <w:pStyle w:val="14"/>
        <w:pageBreakBefore w:val="0"/>
        <w:kinsoku/>
        <w:overflowPunct/>
        <w:topLinePunct w:val="0"/>
        <w:bidi w:val="0"/>
        <w:spacing w:before="0" w:beforeAutospacing="0" w:after="0" w:afterAutospacing="0" w:line="580" w:lineRule="exact"/>
        <w:ind w:left="0" w:firstLine="2168" w:firstLineChars="900"/>
        <w:jc w:val="both"/>
        <w:rPr>
          <w:rStyle w:val="18"/>
          <w:rFonts w:hint="eastAsia" w:asciiTheme="minorEastAsia" w:hAnsiTheme="minorEastAsia" w:eastAsiaTheme="minorEastAsia" w:cstheme="minorEastAsia"/>
          <w:b/>
          <w:bCs/>
          <w:color w:val="auto"/>
          <w:sz w:val="24"/>
          <w:szCs w:val="24"/>
        </w:rPr>
      </w:pPr>
      <w:r>
        <w:rPr>
          <w:rStyle w:val="18"/>
          <w:rFonts w:hint="eastAsia" w:asciiTheme="minorEastAsia" w:hAnsiTheme="minorEastAsia" w:eastAsiaTheme="minorEastAsia" w:cstheme="minorEastAsia"/>
          <w:b/>
          <w:bCs/>
          <w:color w:val="auto"/>
          <w:sz w:val="24"/>
          <w:szCs w:val="24"/>
        </w:rPr>
        <w:t>第七章  附则</w:t>
      </w:r>
    </w:p>
    <w:p w14:paraId="2E442E8C">
      <w:pPr>
        <w:pStyle w:val="14"/>
        <w:pageBreakBefore w:val="0"/>
        <w:kinsoku/>
        <w:wordWrap w:val="0"/>
        <w:overflowPunct/>
        <w:topLinePunct w:val="0"/>
        <w:bidi w:val="0"/>
        <w:spacing w:before="0" w:beforeAutospacing="0" w:after="0" w:afterAutospacing="0" w:line="580" w:lineRule="exact"/>
        <w:ind w:left="0" w:firstLine="480" w:firstLineChars="200"/>
        <w:jc w:val="both"/>
        <w:rPr>
          <w:rStyle w:val="1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第二十一条</w:t>
      </w:r>
      <w:r>
        <w:rPr>
          <w:rStyle w:val="18"/>
          <w:rFonts w:hint="eastAsia" w:asciiTheme="minorEastAsia" w:hAnsiTheme="minorEastAsia" w:eastAsiaTheme="minorEastAsia" w:cstheme="minorEastAsia"/>
          <w:b w:val="0"/>
          <w:bCs w:val="0"/>
          <w:color w:val="auto"/>
          <w:sz w:val="24"/>
          <w:szCs w:val="24"/>
        </w:rPr>
        <w:t xml:space="preserve"> 本制度如遇法律、法规、政策调整时，可适时调整。</w:t>
      </w:r>
    </w:p>
    <w:p w14:paraId="33661D8C">
      <w:pPr>
        <w:bidi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第二十二条</w:t>
      </w:r>
      <w:r>
        <w:rPr>
          <w:rStyle w:val="18"/>
          <w:rFonts w:hint="eastAsia" w:asciiTheme="minorEastAsia" w:hAnsiTheme="minorEastAsia" w:eastAsiaTheme="minorEastAsia" w:cstheme="minorEastAsia"/>
          <w:b w:val="0"/>
          <w:bCs w:val="0"/>
          <w:color w:val="auto"/>
          <w:sz w:val="24"/>
          <w:szCs w:val="24"/>
        </w:rPr>
        <w:t xml:space="preserve"> 本制度自发布之日起实施。</w:t>
      </w:r>
    </w:p>
    <w:p w14:paraId="2D69546F">
      <w:pPr>
        <w:bidi w:val="0"/>
        <w:rPr>
          <w:rFonts w:hint="eastAsia" w:asciiTheme="minorEastAsia" w:hAnsiTheme="minorEastAsia" w:eastAsiaTheme="minorEastAsia" w:cstheme="minorEastAsia"/>
          <w:b/>
          <w:bCs/>
        </w:rPr>
      </w:pPr>
    </w:p>
    <w:p w14:paraId="259F6CE7">
      <w:pPr>
        <w:bidi w:val="0"/>
        <w:rPr>
          <w:rFonts w:hint="eastAsia" w:asciiTheme="minorEastAsia" w:hAnsiTheme="minorEastAsia" w:eastAsiaTheme="minorEastAsia" w:cstheme="minorEastAsia"/>
          <w:b/>
          <w:bCs/>
        </w:rPr>
      </w:pPr>
    </w:p>
    <w:p w14:paraId="4A03DF51">
      <w:pP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br w:type="page"/>
      </w:r>
    </w:p>
    <w:p w14:paraId="1D74085A">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医药价格与招标采购工作制度</w:t>
      </w:r>
    </w:p>
    <w:p w14:paraId="419E465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进一步加强医药价格与招标采购工作管理，规范工作进程，提高工作效能，化解潜在风险，根据《中华人民共和国价格法》和《中华人民共和国药品管理法》等有关法律政策，结合白城市医疗保障局工作实际，制定医药价格与招标采购工作制度。</w:t>
      </w:r>
    </w:p>
    <w:p w14:paraId="2059F8C2">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一、主要职责</w:t>
      </w:r>
    </w:p>
    <w:p w14:paraId="2C467C0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拟订药品、医用耗材价格和医疗服务项目价格管理等政策</w:t>
      </w:r>
      <w:r>
        <w:rPr>
          <w:rFonts w:hint="eastAsia" w:asciiTheme="minorEastAsia" w:hAnsiTheme="minorEastAsia" w:eastAsiaTheme="minorEastAsia" w:cstheme="minorEastAsia"/>
          <w:b w:val="0"/>
          <w:bCs w:val="0"/>
          <w:color w:val="auto"/>
          <w:sz w:val="24"/>
          <w:szCs w:val="24"/>
          <w:lang w:eastAsia="zh-CN"/>
        </w:rPr>
        <w:t>。</w:t>
      </w:r>
    </w:p>
    <w:p w14:paraId="6C4434F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拟订药品、医用耗材的采购、配送及结算管理政策并监督实施。</w:t>
      </w:r>
    </w:p>
    <w:p w14:paraId="7F122639">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二、风险等级</w:t>
      </w:r>
    </w:p>
    <w:p w14:paraId="302102B8">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根据风险事件的情节轻重、影响范围和程度，分为重大风险、中等风险和一般风险三个等级。重大风险是指业务办理的重要方面或环节严重不合规范，相关单位提出严重质疑，致使相关工作陷入被动、停止甚至重新开展，存在严重影响医保局声誉和形象的可能性。中等风险是指业务办理的某些方面或环节不合规范，相关单位提出疑问，存在声誉和形象带来相当不良影响。一般风险是指业务办理的某些方面或环节不合规范，有关方面提出意见建议，对工作正常开展带来一定的不良影响，存在对医保局声誉和形象带来一定负面影响的可能性。</w:t>
      </w:r>
    </w:p>
    <w:p w14:paraId="03649201">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三、医疗服务项目价格管理工作及流程</w:t>
      </w:r>
    </w:p>
    <w:p w14:paraId="5D22651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受理项目申请，医疗机构提交新增与修订项目申请，报业务科室审核。</w:t>
      </w:r>
    </w:p>
    <w:p w14:paraId="01F0F5B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业务科室审核相关申报材料，符合条件予以受理，材料不全的不予受理。</w:t>
      </w:r>
    </w:p>
    <w:p w14:paraId="3E90357D">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医保局会同卫健委开展项目调研，组织专家开展项目准入论证。</w:t>
      </w:r>
    </w:p>
    <w:p w14:paraId="132BE009">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第七条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医保局对项目成本、价格等情况进行审核，组织专家开展价格论证。</w:t>
      </w:r>
    </w:p>
    <w:p w14:paraId="6B419A2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第八条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医保局制定价格方案，经逐级审核签批，与卫健部门联合会签文件并印发。</w:t>
      </w:r>
    </w:p>
    <w:p w14:paraId="24094BE9">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四、药品及医用耗材集中采购工作及流程</w:t>
      </w:r>
    </w:p>
    <w:p w14:paraId="0BF9420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第九条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统计药品及耗材预采购量，向医疗机构发放预采购量统计报表，指导医疗机构填写并上报。</w:t>
      </w:r>
    </w:p>
    <w:p w14:paraId="38A142F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业务科室将省局下发的采购数据进行数据处理和换算，形成分解采购量表。</w:t>
      </w:r>
    </w:p>
    <w:p w14:paraId="6E02E83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医保局形成药品及耗材集中采购方案，经领导签批后下发。</w:t>
      </w:r>
    </w:p>
    <w:p w14:paraId="7904A7C9">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指导医保经办机构签订授权委托书、采购合同，执行医保预付制度，明确医保支付标准。</w:t>
      </w:r>
    </w:p>
    <w:p w14:paraId="66F0423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运用监管帐号对医疗机构采购数据进行监测及数据分析，督促医疗机构按规定完成采购任务。</w:t>
      </w:r>
    </w:p>
    <w:p w14:paraId="02CA257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p>
    <w:p w14:paraId="1D41910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p>
    <w:p w14:paraId="35E9D13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p>
    <w:p w14:paraId="07B798F8">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p>
    <w:p w14:paraId="0FD50BCC">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五、廉政风险点</w:t>
      </w:r>
    </w:p>
    <w:tbl>
      <w:tblPr>
        <w:tblStyle w:val="16"/>
        <w:tblpPr w:leftFromText="180" w:rightFromText="180" w:vertAnchor="text" w:tblpXSpec="left" w:tblpY="1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189"/>
        <w:gridCol w:w="1605"/>
        <w:gridCol w:w="1598"/>
      </w:tblGrid>
      <w:tr w14:paraId="22C5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27AF71BE">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风险点</w:t>
            </w:r>
          </w:p>
        </w:tc>
        <w:tc>
          <w:tcPr>
            <w:tcW w:w="3189" w:type="dxa"/>
            <w:vAlign w:val="center"/>
          </w:tcPr>
          <w:p w14:paraId="30625B23">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现实表现形式</w:t>
            </w:r>
          </w:p>
        </w:tc>
        <w:tc>
          <w:tcPr>
            <w:tcW w:w="1605" w:type="dxa"/>
            <w:vAlign w:val="center"/>
          </w:tcPr>
          <w:p w14:paraId="233B9401">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风险等级</w:t>
            </w:r>
          </w:p>
        </w:tc>
        <w:tc>
          <w:tcPr>
            <w:tcW w:w="1598" w:type="dxa"/>
            <w:vAlign w:val="center"/>
          </w:tcPr>
          <w:p w14:paraId="70078F95">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责任主体</w:t>
            </w:r>
          </w:p>
        </w:tc>
      </w:tr>
      <w:tr w14:paraId="7EDF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2129" w:type="dxa"/>
            <w:vAlign w:val="center"/>
          </w:tcPr>
          <w:p w14:paraId="506A13C0">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p>
          <w:p w14:paraId="31A2046F">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以上工作政策性、专业性较强，业务操作流程还不够规范严格，办理业务工作时间观念还不够强。</w:t>
            </w:r>
          </w:p>
          <w:p w14:paraId="6E419833">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p>
        </w:tc>
        <w:tc>
          <w:tcPr>
            <w:tcW w:w="3189" w:type="dxa"/>
            <w:vAlign w:val="center"/>
          </w:tcPr>
          <w:p w14:paraId="758AB13A">
            <w:pPr>
              <w:pageBreakBefore w:val="0"/>
              <w:widowControl/>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对工作理解的还不够深入，在政策上刻苦钻研的劲头不足，对文件内涵把握的不到位，工作落实容易出现偏差，工作中遇到实际困难，往往是遇到新问题才想到进一步深入研究政策，工作前瞻性不强。</w:t>
            </w:r>
          </w:p>
          <w:p w14:paraId="50919DF3">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p>
        </w:tc>
        <w:tc>
          <w:tcPr>
            <w:tcW w:w="1605" w:type="dxa"/>
            <w:vAlign w:val="center"/>
          </w:tcPr>
          <w:p w14:paraId="2586629D">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一般风险</w:t>
            </w:r>
          </w:p>
        </w:tc>
        <w:tc>
          <w:tcPr>
            <w:tcW w:w="1598" w:type="dxa"/>
            <w:vAlign w:val="center"/>
          </w:tcPr>
          <w:p w14:paraId="4D92FD9E">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主办人员</w:t>
            </w:r>
          </w:p>
        </w:tc>
      </w:tr>
    </w:tbl>
    <w:p w14:paraId="4499A6B0">
      <w:pPr>
        <w:pageBreakBefore w:val="0"/>
        <w:kinsoku/>
        <w:overflowPunct/>
        <w:topLinePunct w:val="0"/>
        <w:bidi w:val="0"/>
        <w:spacing w:line="580" w:lineRule="exact"/>
        <w:ind w:left="0" w:leftChars="0" w:right="0" w:rightChars="0" w:firstLine="0" w:firstLineChars="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val="0"/>
          <w:color w:val="auto"/>
          <w:sz w:val="24"/>
          <w:szCs w:val="24"/>
        </w:rPr>
        <w:br w:type="textWrapping"/>
      </w:r>
      <w:r>
        <w:rPr>
          <w:rFonts w:hint="eastAsia" w:asciiTheme="minorEastAsia" w:hAnsiTheme="minorEastAsia" w:eastAsiaTheme="minorEastAsia" w:cstheme="minorEastAsia"/>
          <w:b/>
          <w:bCs/>
          <w:color w:val="auto"/>
          <w:sz w:val="24"/>
          <w:szCs w:val="24"/>
        </w:rPr>
        <w:t>六、防控措施</w:t>
      </w:r>
    </w:p>
    <w:p w14:paraId="476F14A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（一）事前防范</w:t>
      </w:r>
    </w:p>
    <w:p w14:paraId="479ABD1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第十四条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学习相关的法律、法规及业务知识，熟悉相关业务操作流程</w:t>
      </w:r>
      <w:r>
        <w:rPr>
          <w:rFonts w:hint="eastAsia" w:asciiTheme="minorEastAsia" w:hAnsiTheme="minorEastAsia" w:eastAsiaTheme="minorEastAsia" w:cstheme="minorEastAsia"/>
          <w:b w:val="0"/>
          <w:bCs w:val="0"/>
          <w:color w:val="auto"/>
          <w:sz w:val="24"/>
          <w:szCs w:val="24"/>
          <w:lang w:eastAsia="zh-CN"/>
        </w:rPr>
        <w:t>。</w:t>
      </w:r>
    </w:p>
    <w:p w14:paraId="46CD2E2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第十五条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落实工作责任，加强督导检查</w:t>
      </w:r>
      <w:r>
        <w:rPr>
          <w:rFonts w:hint="eastAsia" w:asciiTheme="minorEastAsia" w:hAnsiTheme="minorEastAsia" w:eastAsiaTheme="minorEastAsia" w:cstheme="minorEastAsia"/>
          <w:b w:val="0"/>
          <w:bCs w:val="0"/>
          <w:color w:val="auto"/>
          <w:sz w:val="24"/>
          <w:szCs w:val="24"/>
          <w:lang w:eastAsia="zh-CN"/>
        </w:rPr>
        <w:t>。</w:t>
      </w:r>
    </w:p>
    <w:p w14:paraId="0B04F72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坚持公开、公平、公正的原则，严格操作规程，杜绝人情关系。</w:t>
      </w:r>
    </w:p>
    <w:p w14:paraId="2F25D39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（二）事中控制</w:t>
      </w:r>
    </w:p>
    <w:p w14:paraId="3E3B894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第十七条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坚持依法依规处理各环节工作</w:t>
      </w:r>
      <w:r>
        <w:rPr>
          <w:rFonts w:hint="eastAsia" w:asciiTheme="minorEastAsia" w:hAnsiTheme="minorEastAsia" w:eastAsiaTheme="minorEastAsia" w:cstheme="minorEastAsia"/>
          <w:b w:val="0"/>
          <w:bCs w:val="0"/>
          <w:color w:val="auto"/>
          <w:sz w:val="24"/>
          <w:szCs w:val="24"/>
          <w:lang w:eastAsia="zh-CN"/>
        </w:rPr>
        <w:t>。</w:t>
      </w:r>
    </w:p>
    <w:p w14:paraId="2A1746C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第十八条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严格实行科室、局领导逐层审核把关</w:t>
      </w:r>
      <w:r>
        <w:rPr>
          <w:rFonts w:hint="eastAsia" w:asciiTheme="minorEastAsia" w:hAnsiTheme="minorEastAsia" w:eastAsiaTheme="minorEastAsia" w:cstheme="minorEastAsia"/>
          <w:b w:val="0"/>
          <w:bCs w:val="0"/>
          <w:color w:val="auto"/>
          <w:sz w:val="24"/>
          <w:szCs w:val="24"/>
          <w:lang w:eastAsia="zh-CN"/>
        </w:rPr>
        <w:t>。</w:t>
      </w:r>
    </w:p>
    <w:p w14:paraId="60F96D0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第十九条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严格按规定时限、流程等要求进行管理。</w:t>
      </w:r>
    </w:p>
    <w:p w14:paraId="644E439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（三）事后监管</w:t>
      </w:r>
    </w:p>
    <w:p w14:paraId="38C035C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第二十条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建立工作台账</w:t>
      </w:r>
      <w:r>
        <w:rPr>
          <w:rFonts w:hint="eastAsia" w:asciiTheme="minorEastAsia" w:hAnsiTheme="minorEastAsia" w:eastAsiaTheme="minorEastAsia" w:cstheme="minorEastAsia"/>
          <w:b w:val="0"/>
          <w:bCs w:val="0"/>
          <w:color w:val="auto"/>
          <w:sz w:val="24"/>
          <w:szCs w:val="24"/>
          <w:lang w:eastAsia="zh-CN"/>
        </w:rPr>
        <w:t>。</w:t>
      </w:r>
    </w:p>
    <w:p w14:paraId="44427A6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第二十一条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相关材料做好备案存档</w:t>
      </w:r>
      <w:r>
        <w:rPr>
          <w:rFonts w:hint="eastAsia" w:asciiTheme="minorEastAsia" w:hAnsiTheme="minorEastAsia" w:eastAsiaTheme="minorEastAsia" w:cstheme="minorEastAsia"/>
          <w:b w:val="0"/>
          <w:bCs w:val="0"/>
          <w:color w:val="auto"/>
          <w:sz w:val="24"/>
          <w:szCs w:val="24"/>
          <w:lang w:eastAsia="zh-CN"/>
        </w:rPr>
        <w:t>。</w:t>
      </w:r>
    </w:p>
    <w:p w14:paraId="545DE99B">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七、监督检查</w:t>
      </w:r>
    </w:p>
    <w:p w14:paraId="5A9C920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第二十二条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责任科室工作人员负责对相关材料进行初审。</w:t>
      </w:r>
    </w:p>
    <w:p w14:paraId="05E637C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第二十三条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责任科室科长负责对材料进行复审把关，请示汇报和监督指导。</w:t>
      </w:r>
    </w:p>
    <w:p w14:paraId="0B140112">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第二十四条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局领导负责对工作情况进行审核签发，对工作流程进行监督指导。</w:t>
      </w:r>
    </w:p>
    <w:p w14:paraId="0337D49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第二十五条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单位纪检工作人员有权利对业务办理进行监督，接受群众举报线索。对涉嫌违规行为应进行及时制止。如发现违规</w:t>
      </w:r>
      <w:r>
        <w:rPr>
          <w:rFonts w:hint="eastAsia" w:asciiTheme="minorEastAsia" w:hAnsiTheme="minorEastAsia" w:eastAsiaTheme="minorEastAsia" w:cstheme="minorEastAsia"/>
          <w:b w:val="0"/>
          <w:bCs w:val="0"/>
          <w:color w:val="auto"/>
          <w:sz w:val="24"/>
          <w:szCs w:val="24"/>
          <w:lang w:eastAsia="zh-CN"/>
        </w:rPr>
        <w:t>行为</w:t>
      </w:r>
      <w:r>
        <w:rPr>
          <w:rFonts w:hint="eastAsia" w:asciiTheme="minorEastAsia" w:hAnsiTheme="minorEastAsia" w:eastAsiaTheme="minorEastAsia" w:cstheme="minorEastAsia"/>
          <w:b w:val="0"/>
          <w:bCs w:val="0"/>
          <w:color w:val="auto"/>
          <w:sz w:val="24"/>
          <w:szCs w:val="24"/>
        </w:rPr>
        <w:t>，在经过调查</w:t>
      </w:r>
      <w:r>
        <w:rPr>
          <w:rFonts w:hint="eastAsia" w:asciiTheme="minorEastAsia" w:hAnsiTheme="minorEastAsia" w:eastAsiaTheme="minorEastAsia" w:cstheme="minorEastAsia"/>
          <w:b w:val="0"/>
          <w:bCs w:val="0"/>
          <w:color w:val="auto"/>
          <w:sz w:val="24"/>
          <w:szCs w:val="24"/>
          <w:lang w:eastAsia="zh-CN"/>
        </w:rPr>
        <w:t>核实</w:t>
      </w:r>
      <w:r>
        <w:rPr>
          <w:rFonts w:hint="eastAsia" w:asciiTheme="minorEastAsia" w:hAnsiTheme="minorEastAsia" w:eastAsiaTheme="minorEastAsia" w:cstheme="minorEastAsia"/>
          <w:b w:val="0"/>
          <w:bCs w:val="0"/>
          <w:color w:val="auto"/>
          <w:sz w:val="24"/>
          <w:szCs w:val="24"/>
        </w:rPr>
        <w:t>后，情节较轻的，</w:t>
      </w:r>
      <w:r>
        <w:rPr>
          <w:rFonts w:hint="eastAsia" w:asciiTheme="minorEastAsia" w:hAnsiTheme="minorEastAsia" w:eastAsiaTheme="minorEastAsia" w:cstheme="minorEastAsia"/>
          <w:b w:val="0"/>
          <w:bCs w:val="0"/>
          <w:color w:val="auto"/>
          <w:sz w:val="24"/>
          <w:szCs w:val="24"/>
          <w:lang w:eastAsia="zh-CN"/>
        </w:rPr>
        <w:t>进行</w:t>
      </w:r>
      <w:r>
        <w:rPr>
          <w:rFonts w:hint="eastAsia" w:asciiTheme="minorEastAsia" w:hAnsiTheme="minorEastAsia" w:eastAsiaTheme="minorEastAsia" w:cstheme="minorEastAsia"/>
          <w:b w:val="0"/>
          <w:bCs w:val="0"/>
          <w:color w:val="auto"/>
          <w:sz w:val="24"/>
          <w:szCs w:val="24"/>
        </w:rPr>
        <w:t>通报批评，并取消相关</w:t>
      </w:r>
      <w:r>
        <w:rPr>
          <w:rFonts w:hint="eastAsia" w:asciiTheme="minorEastAsia" w:hAnsiTheme="minorEastAsia" w:eastAsiaTheme="minorEastAsia" w:cstheme="minorEastAsia"/>
          <w:b w:val="0"/>
          <w:bCs w:val="0"/>
          <w:color w:val="auto"/>
          <w:sz w:val="24"/>
          <w:szCs w:val="24"/>
          <w:lang w:eastAsia="zh-CN"/>
        </w:rPr>
        <w:t>责任人</w:t>
      </w:r>
      <w:r>
        <w:rPr>
          <w:rFonts w:hint="eastAsia" w:asciiTheme="minorEastAsia" w:hAnsiTheme="minorEastAsia" w:eastAsiaTheme="minorEastAsia" w:cstheme="minorEastAsia"/>
          <w:b w:val="0"/>
          <w:bCs w:val="0"/>
          <w:color w:val="auto"/>
          <w:sz w:val="24"/>
          <w:szCs w:val="24"/>
        </w:rPr>
        <w:t>当年评先选优资格。情节严重触犯相关法律的，移交本地司法部门依法处理。</w:t>
      </w:r>
    </w:p>
    <w:p w14:paraId="7813B42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第二十六条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本制度自发布之日起实施。</w:t>
      </w:r>
    </w:p>
    <w:p w14:paraId="3EA72D79">
      <w:pPr>
        <w:bidi w:val="0"/>
        <w:rPr>
          <w:rFonts w:hint="eastAsia" w:asciiTheme="minorEastAsia" w:hAnsiTheme="minorEastAsia" w:eastAsiaTheme="minorEastAsia" w:cstheme="minorEastAsia"/>
          <w:b/>
          <w:bCs/>
        </w:rPr>
      </w:pPr>
    </w:p>
    <w:p w14:paraId="67809291">
      <w:pPr>
        <w:bidi w:val="0"/>
        <w:rPr>
          <w:rFonts w:hint="eastAsia" w:asciiTheme="minorEastAsia" w:hAnsiTheme="minorEastAsia" w:eastAsiaTheme="minorEastAsia" w:cstheme="minorEastAsia"/>
          <w:b/>
          <w:bCs/>
        </w:rPr>
      </w:pPr>
    </w:p>
    <w:p w14:paraId="5AC89B3A">
      <w:pPr>
        <w:bidi w:val="0"/>
        <w:rPr>
          <w:rFonts w:hint="eastAsia" w:asciiTheme="minorEastAsia" w:hAnsiTheme="minorEastAsia" w:eastAsiaTheme="minorEastAsia" w:cstheme="minorEastAsia"/>
          <w:b/>
          <w:bCs/>
        </w:rPr>
      </w:pPr>
    </w:p>
    <w:p w14:paraId="66EC4BAD">
      <w:pPr>
        <w:pStyle w:val="2"/>
        <w:rPr>
          <w:rFonts w:hint="eastAsia" w:asciiTheme="minorEastAsia" w:hAnsiTheme="minorEastAsia" w:eastAsiaTheme="minorEastAsia" w:cstheme="minorEastAsia"/>
          <w:b/>
          <w:bCs/>
        </w:rPr>
      </w:pPr>
    </w:p>
    <w:p w14:paraId="5B712481">
      <w:pPr>
        <w:rPr>
          <w:rFonts w:hint="eastAsia" w:asciiTheme="minorEastAsia" w:hAnsiTheme="minorEastAsia" w:eastAsiaTheme="minorEastAsia" w:cstheme="minorEastAsia"/>
          <w:b/>
          <w:bCs/>
        </w:rPr>
      </w:pPr>
    </w:p>
    <w:p w14:paraId="36EBB1AA">
      <w:pPr>
        <w:pStyle w:val="2"/>
        <w:rPr>
          <w:rFonts w:hint="eastAsia"/>
        </w:rPr>
      </w:pPr>
    </w:p>
    <w:p w14:paraId="096A6784">
      <w:pPr>
        <w:bidi w:val="0"/>
        <w:rPr>
          <w:rFonts w:hint="eastAsia" w:asciiTheme="minorEastAsia" w:hAnsiTheme="minorEastAsia" w:eastAsiaTheme="minorEastAsia" w:cstheme="minorEastAsia"/>
          <w:b/>
          <w:bCs/>
        </w:rPr>
      </w:pPr>
    </w:p>
    <w:p w14:paraId="40B4248D">
      <w:pPr>
        <w:bidi w:val="0"/>
        <w:rPr>
          <w:rFonts w:hint="eastAsia" w:asciiTheme="minorEastAsia" w:hAnsiTheme="minorEastAsia" w:eastAsiaTheme="minorEastAsia" w:cstheme="minorEastAsia"/>
          <w:b/>
          <w:bCs/>
        </w:rPr>
      </w:pPr>
    </w:p>
    <w:p w14:paraId="62E86692">
      <w:pPr>
        <w:bidi w:val="0"/>
        <w:rPr>
          <w:rFonts w:hint="eastAsia" w:asciiTheme="minorEastAsia" w:hAnsiTheme="minorEastAsia" w:eastAsiaTheme="minorEastAsia" w:cstheme="minorEastAsia"/>
          <w:b/>
          <w:bCs/>
        </w:rPr>
      </w:pPr>
    </w:p>
    <w:p w14:paraId="088A09AF">
      <w:pPr>
        <w:bidi w:val="0"/>
        <w:rPr>
          <w:rFonts w:hint="eastAsia" w:asciiTheme="minorEastAsia" w:hAnsiTheme="minorEastAsia" w:eastAsiaTheme="minorEastAsia" w:cstheme="minorEastAsia"/>
          <w:b/>
          <w:bCs/>
        </w:rPr>
      </w:pPr>
    </w:p>
    <w:p w14:paraId="0E3DA9AD">
      <w:pPr>
        <w:bidi w:val="0"/>
        <w:rPr>
          <w:rFonts w:hint="eastAsia" w:asciiTheme="minorEastAsia" w:hAnsiTheme="minorEastAsia" w:eastAsiaTheme="minorEastAsia" w:cstheme="minorEastAsia"/>
          <w:b/>
          <w:bCs/>
        </w:rPr>
      </w:pPr>
    </w:p>
    <w:p w14:paraId="20C06A06">
      <w:pPr>
        <w:bidi w:val="0"/>
        <w:rPr>
          <w:rFonts w:hint="eastAsia" w:asciiTheme="minorEastAsia" w:hAnsiTheme="minorEastAsia" w:eastAsiaTheme="minorEastAsia" w:cstheme="minorEastAsia"/>
          <w:b/>
          <w:bCs/>
        </w:rPr>
      </w:pPr>
    </w:p>
    <w:p w14:paraId="5C079CEE">
      <w:pPr>
        <w:pStyle w:val="2"/>
        <w:rPr>
          <w:rFonts w:hint="eastAsia" w:asciiTheme="minorEastAsia" w:hAnsiTheme="minorEastAsia" w:eastAsiaTheme="minorEastAsia" w:cstheme="minorEastAsia"/>
          <w:b/>
          <w:bCs/>
        </w:rPr>
      </w:pPr>
    </w:p>
    <w:p w14:paraId="24FAA302">
      <w:pPr>
        <w:rPr>
          <w:rFonts w:hint="eastAsia" w:asciiTheme="minorEastAsia" w:hAnsiTheme="minorEastAsia" w:eastAsiaTheme="minorEastAsia" w:cstheme="minorEastAsia"/>
          <w:b/>
          <w:bCs/>
        </w:rPr>
      </w:pPr>
    </w:p>
    <w:p w14:paraId="3B8E58B5">
      <w:pPr>
        <w:pStyle w:val="2"/>
        <w:rPr>
          <w:rFonts w:hint="eastAsia" w:asciiTheme="minorEastAsia" w:hAnsiTheme="minorEastAsia" w:eastAsiaTheme="minorEastAsia" w:cstheme="minorEastAsia"/>
          <w:b/>
          <w:bCs/>
        </w:rPr>
      </w:pPr>
    </w:p>
    <w:p w14:paraId="52D5A933">
      <w:pPr>
        <w:rPr>
          <w:rFonts w:hint="eastAsia" w:asciiTheme="minorEastAsia" w:hAnsiTheme="minorEastAsia" w:eastAsiaTheme="minorEastAsia" w:cstheme="minorEastAsia"/>
          <w:b/>
          <w:bCs/>
        </w:rPr>
      </w:pPr>
    </w:p>
    <w:p w14:paraId="6169B27A">
      <w:pPr>
        <w:pStyle w:val="2"/>
        <w:rPr>
          <w:rFonts w:hint="eastAsia"/>
        </w:rPr>
      </w:pPr>
    </w:p>
    <w:p w14:paraId="1EE62C0E">
      <w:pPr>
        <w:rPr>
          <w:rFonts w:hint="eastAsia" w:asciiTheme="minorEastAsia" w:hAnsiTheme="minorEastAsia" w:eastAsiaTheme="minorEastAsia" w:cstheme="minorEastAsia"/>
          <w:b/>
          <w:bCs/>
        </w:rPr>
      </w:pPr>
    </w:p>
    <w:p w14:paraId="55DAD11E">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社会医疗保险管理局业务经办管理制度</w:t>
      </w:r>
    </w:p>
    <w:p w14:paraId="69B97E2B">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第一章</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eastAsia="zh-CN"/>
        </w:rPr>
        <w:t>总则</w:t>
      </w:r>
    </w:p>
    <w:p w14:paraId="5A51D662">
      <w:pPr>
        <w:pageBreakBefore w:val="0"/>
        <w:numPr>
          <w:ilvl w:val="0"/>
          <w:numId w:val="0"/>
        </w:numPr>
        <w:kinsoku/>
        <w:overflowPunct/>
        <w:topLinePunct w:val="0"/>
        <w:autoSpaceDE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一条：为了进一步加强和规范医疗保险业务经办管理，提升医疗保险业务经办科学化、规范化、制度化管理水平，切实保障参保对象医保待遇，依据《社会保险法》和吉林省第三版业务经办流程，结合白城市社会医疗保险局业务经办工作实际制定本制度。</w:t>
      </w:r>
    </w:p>
    <w:p w14:paraId="1A7A2B89">
      <w:pPr>
        <w:pageBreakBefore w:val="0"/>
        <w:numPr>
          <w:ilvl w:val="0"/>
          <w:numId w:val="0"/>
        </w:numPr>
        <w:kinsoku/>
        <w:overflowPunct/>
        <w:topLinePunct w:val="0"/>
        <w:autoSpaceDE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第二条：本制度提出的业务经办包括城乡居民参保登记；职工医保缴费基数核定；医保基金结算；异地就医管理；待遇审核、稽核审计管理、内部控制监督检查管理、基金财务管理等全部业务经办内容。</w:t>
      </w:r>
    </w:p>
    <w:p w14:paraId="2977B2E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14298FDA">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第二章 城乡居民参保登记管理</w:t>
      </w:r>
    </w:p>
    <w:p w14:paraId="3D637DF9">
      <w:pPr>
        <w:pageBreakBefore w:val="0"/>
        <w:numPr>
          <w:ilvl w:val="0"/>
          <w:numId w:val="0"/>
        </w:numPr>
        <w:kinsoku/>
        <w:overflowPunct/>
        <w:topLinePunct w:val="0"/>
        <w:autoSpaceDE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第三条：</w:t>
      </w:r>
      <w:r>
        <w:rPr>
          <w:rFonts w:hint="eastAsia" w:asciiTheme="minorEastAsia" w:hAnsiTheme="minorEastAsia" w:eastAsiaTheme="minorEastAsia" w:cstheme="minorEastAsia"/>
          <w:b w:val="0"/>
          <w:bCs w:val="0"/>
          <w:color w:val="auto"/>
          <w:sz w:val="24"/>
          <w:szCs w:val="24"/>
          <w:lang w:val="en-US" w:eastAsia="zh-CN"/>
        </w:rPr>
        <w:t>城乡居民参保登记应严格审核参保条件及所需材料。业务经办人员应针对具有白城市户籍或居住证，且年满18周岁的城乡非从业居民；在白城市统筹区内大中小学校（包括职业高中、中专、技校）就读的学生和幼儿园儿童，以及其他具有白城市户籍或居住证未满18周岁的居民等给予办理参保登记。业务经办人员要严格审核身份证或居住证原件和复印件。</w:t>
      </w:r>
    </w:p>
    <w:p w14:paraId="3C963106">
      <w:pPr>
        <w:pageBreakBefore w:val="0"/>
        <w:kinsoku/>
        <w:overflowPunct/>
        <w:topLinePunct w:val="0"/>
        <w:autoSpaceDE w:val="0"/>
        <w:bidi w:val="0"/>
        <w:spacing w:line="580" w:lineRule="exact"/>
        <w:ind w:left="0" w:leftChars="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第四条：</w:t>
      </w:r>
      <w:r>
        <w:rPr>
          <w:rFonts w:hint="eastAsia" w:asciiTheme="minorEastAsia" w:hAnsiTheme="minorEastAsia" w:eastAsiaTheme="minorEastAsia" w:cstheme="minorEastAsia"/>
          <w:b w:val="0"/>
          <w:bCs w:val="0"/>
          <w:color w:val="auto"/>
          <w:sz w:val="24"/>
          <w:szCs w:val="24"/>
          <w:lang w:val="en-US" w:eastAsia="zh-CN"/>
        </w:rPr>
        <w:t>城乡居民参保登记应严格规范特殊人员参保登记及特殊情况待遇开通。针对特殊人员参保登记应实行初审、复核二级经办权限管理。窗口工作人员依据民政部门、扶贫部门提交的特殊参保对象身份变动名单完成初审，经业务科室审核后完成身份识别变更。针对特殊情况开通医保待遇，按照多级审核流程办理，由窗口经办人员填写问题单并签字、经业务科长初审、财务科长复核、分管领导审核，主要领导审批后方可开通待遇。</w:t>
      </w:r>
    </w:p>
    <w:p w14:paraId="6B7D94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eastAsia="zh-CN"/>
        </w:rPr>
      </w:pPr>
    </w:p>
    <w:p w14:paraId="02B168BB">
      <w:pPr>
        <w:pageBreakBefore w:val="0"/>
        <w:numPr>
          <w:ilvl w:val="0"/>
          <w:numId w:val="0"/>
        </w:numPr>
        <w:kinsoku/>
        <w:overflowPunct/>
        <w:topLinePunct w:val="0"/>
        <w:autoSpaceDE w:val="0"/>
        <w:bidi w:val="0"/>
        <w:spacing w:line="580" w:lineRule="exact"/>
        <w:ind w:left="0" w:firstLine="964" w:firstLineChars="4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第三章 城镇职工医保缴费申报与核定管理</w:t>
      </w:r>
    </w:p>
    <w:p w14:paraId="775C95A8">
      <w:pPr>
        <w:pageBreakBefore w:val="0"/>
        <w:numPr>
          <w:ilvl w:val="0"/>
          <w:numId w:val="0"/>
        </w:numPr>
        <w:kinsoku/>
        <w:overflowPunct/>
        <w:topLinePunct w:val="0"/>
        <w:autoSpaceDE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城镇职工参保缴费基数申报与核定要严格审核基础材料。业务经办人员要严格审核参保单位申报的职工工资发放表、工资总账、明细账、个人所得税报告表、银行批量代发工资成功清单等基础材料，材料不齐全、不规范不予审核。</w:t>
      </w:r>
    </w:p>
    <w:p w14:paraId="124CC1C8">
      <w:pPr>
        <w:pageBreakBefore w:val="0"/>
        <w:numPr>
          <w:ilvl w:val="0"/>
          <w:numId w:val="0"/>
        </w:numPr>
        <w:kinsoku/>
        <w:overflowPunct/>
        <w:topLinePunct w:val="0"/>
        <w:autoSpaceDE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业务经办人员要严格规范执行经办流程。业务实行初审、复核、稽核三级经办权限管理。窗口经办人员负责核定医疗（生育）保险缴费基数相关材料。登记审核科依据医保政策规定完成复核。稽核科根据存档资料针对缴费基数的核定制定计划，区分不同情况进行实地和书面稽核。稽核后确认的缴费基数结果反馈给业务部门，综合窗口根据稽核通知单对参保单位虚报瞒报的医保费立即追缴。</w:t>
      </w:r>
    </w:p>
    <w:p w14:paraId="521BE21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029B28C9">
      <w:pPr>
        <w:pageBreakBefore w:val="0"/>
        <w:numPr>
          <w:ilvl w:val="0"/>
          <w:numId w:val="0"/>
        </w:numPr>
        <w:kinsoku/>
        <w:overflowPunct/>
        <w:topLinePunct w:val="0"/>
        <w:autoSpaceDE w:val="0"/>
        <w:bidi w:val="0"/>
        <w:spacing w:line="580" w:lineRule="exact"/>
        <w:ind w:left="0" w:firstLine="1687" w:firstLineChars="7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第四章 医保基金结算管理</w:t>
      </w:r>
    </w:p>
    <w:p w14:paraId="58AC5FC6">
      <w:pPr>
        <w:pageBreakBefore w:val="0"/>
        <w:kinsoku/>
        <w:overflowPunct/>
        <w:topLinePunct w:val="0"/>
        <w:bidi w:val="0"/>
        <w:spacing w:line="580" w:lineRule="exact"/>
        <w:ind w:left="0" w:leftChars="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第七条：</w:t>
      </w:r>
      <w:r>
        <w:rPr>
          <w:rFonts w:hint="eastAsia" w:asciiTheme="minorEastAsia" w:hAnsiTheme="minorEastAsia" w:eastAsiaTheme="minorEastAsia" w:cstheme="minorEastAsia"/>
          <w:b w:val="0"/>
          <w:bCs w:val="0"/>
          <w:color w:val="auto"/>
          <w:sz w:val="24"/>
          <w:szCs w:val="24"/>
          <w:lang w:val="en-US" w:eastAsia="zh-CN"/>
        </w:rPr>
        <w:t>业务经办人员要严格执行基金结算经办流程。医保基金结算应由基金结算科网上完成清算审核，业务科长复核，财务科长复审、分管领导审批后实施拨款。</w:t>
      </w:r>
    </w:p>
    <w:p w14:paraId="4CEEE420">
      <w:pPr>
        <w:pageBreakBefore w:val="0"/>
        <w:widowControl/>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第八条：</w:t>
      </w:r>
      <w:r>
        <w:rPr>
          <w:rFonts w:hint="eastAsia" w:asciiTheme="minorEastAsia" w:hAnsiTheme="minorEastAsia" w:eastAsiaTheme="minorEastAsia" w:cstheme="minorEastAsia"/>
          <w:b w:val="0"/>
          <w:bCs w:val="0"/>
          <w:color w:val="auto"/>
          <w:sz w:val="24"/>
          <w:szCs w:val="24"/>
          <w:lang w:val="en-US" w:eastAsia="zh-CN"/>
        </w:rPr>
        <w:t>业务经办人员要严格规范基金结算总额控制指标测算。基金结算总额控制指标的确定应以医保基金收支预算管理作为总额控制方案的基础，结合医保基金支付项目所涉及的费用，根据前三年各定点医疗机构服务提供情况和实际医疗费用发生情况的年平均值核定。</w:t>
      </w:r>
    </w:p>
    <w:p w14:paraId="17088DE2">
      <w:pPr>
        <w:pageBreakBefore w:val="0"/>
        <w:widowControl/>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第九条：</w:t>
      </w:r>
      <w:r>
        <w:rPr>
          <w:rFonts w:hint="eastAsia" w:asciiTheme="minorEastAsia" w:hAnsiTheme="minorEastAsia" w:eastAsiaTheme="minorEastAsia" w:cstheme="minorEastAsia"/>
          <w:b w:val="0"/>
          <w:bCs w:val="0"/>
          <w:color w:val="auto"/>
          <w:sz w:val="24"/>
          <w:szCs w:val="24"/>
          <w:lang w:val="en-US" w:eastAsia="zh-CN"/>
        </w:rPr>
        <w:t>业务经办人员要严格规范基金结算超出总额控制指标管理。应针对定点医疗机构服务协议管理要求，结合定点医疗机构实际发生费用，合理确定超支部分，由基金结算科报请分管领导，组织召开总控追加审议会议，针对合理超支部分进行追加审议。审议会议由分管领导主持，参加人员应包括基金结算科、基金财务科、稽核审计科、基金监管科相关负责人，经集体审议并达成一致意见签字确认，并上报主要领导审批后执行，同时形成会议纪要，由办公室存档，报备市医疗保障局。</w:t>
      </w:r>
    </w:p>
    <w:p w14:paraId="5F3BAD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08342E30">
      <w:pPr>
        <w:pageBreakBefore w:val="0"/>
        <w:numPr>
          <w:ilvl w:val="0"/>
          <w:numId w:val="0"/>
        </w:numPr>
        <w:kinsoku/>
        <w:overflowPunct/>
        <w:topLinePunct w:val="0"/>
        <w:autoSpaceDE w:val="0"/>
        <w:bidi w:val="0"/>
        <w:spacing w:line="580" w:lineRule="exact"/>
        <w:ind w:left="0" w:firstLine="1687" w:firstLineChars="7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第五章 长期异地就医管理</w:t>
      </w:r>
    </w:p>
    <w:p w14:paraId="23E4F261">
      <w:pPr>
        <w:pageBreakBefore w:val="0"/>
        <w:kinsoku/>
        <w:overflowPunct/>
        <w:topLinePunct w:val="0"/>
        <w:bidi w:val="0"/>
        <w:spacing w:line="580" w:lineRule="exact"/>
        <w:ind w:left="0" w:leftChars="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第十条：</w:t>
      </w:r>
      <w:r>
        <w:rPr>
          <w:rFonts w:hint="eastAsia" w:asciiTheme="minorEastAsia" w:hAnsiTheme="minorEastAsia" w:eastAsiaTheme="minorEastAsia" w:cstheme="minorEastAsia"/>
          <w:b w:val="0"/>
          <w:bCs w:val="0"/>
          <w:color w:val="auto"/>
          <w:sz w:val="24"/>
          <w:szCs w:val="24"/>
          <w:lang w:val="en-US" w:eastAsia="zh-CN"/>
        </w:rPr>
        <w:t>业务经办人员要严格执行异地就医经办流程。长期异地就医登记应由窗口经办人员依据申请人线上或线下提交的户口本、居住证、身份证或居住证明等基础材料完成初审，经业务科长复核后完成登记。</w:t>
      </w:r>
    </w:p>
    <w:p w14:paraId="63D9A3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733238CA">
      <w:pPr>
        <w:pageBreakBefore w:val="0"/>
        <w:numPr>
          <w:ilvl w:val="0"/>
          <w:numId w:val="0"/>
        </w:numPr>
        <w:kinsoku/>
        <w:overflowPunct/>
        <w:topLinePunct w:val="0"/>
        <w:autoSpaceDE w:val="0"/>
        <w:bidi w:val="0"/>
        <w:spacing w:line="580" w:lineRule="exact"/>
        <w:ind w:left="0" w:firstLine="1687" w:firstLineChars="7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第六章 转诊转院管理</w:t>
      </w:r>
    </w:p>
    <w:p w14:paraId="0A7BC3CD">
      <w:pPr>
        <w:pageBreakBefore w:val="0"/>
        <w:kinsoku/>
        <w:overflowPunct/>
        <w:topLinePunct w:val="0"/>
        <w:bidi w:val="0"/>
        <w:spacing w:line="580" w:lineRule="exact"/>
        <w:ind w:left="0" w:leftChars="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第十一条：</w:t>
      </w:r>
      <w:r>
        <w:rPr>
          <w:rFonts w:hint="eastAsia" w:asciiTheme="minorEastAsia" w:hAnsiTheme="minorEastAsia" w:eastAsiaTheme="minorEastAsia" w:cstheme="minorEastAsia"/>
          <w:b w:val="0"/>
          <w:bCs w:val="0"/>
          <w:color w:val="auto"/>
          <w:sz w:val="24"/>
          <w:szCs w:val="24"/>
          <w:lang w:val="en-US" w:eastAsia="zh-CN"/>
        </w:rPr>
        <w:t>按照分级诊疗的原则，转诊转院由统筹区域内具备转诊转院资质的定点医疗机构，根据临床治疗需要，按照相应政策规定，为参保人员办理转诊转院手续。针对职工医保转院按照定点医院提交的转诊转院患者信息，医保经办人员应及时完成审核，并将符合转院条件的患者转院信息备案到就医地。符合城乡居民医保转诊转院条件的，由定点医院直接上传到省级平台，完成转诊转院办理。异地就医管理科要定期审核定点医院办理完结的转诊转院人员相关基础材料，针对转诊转院要件不齐全、不规范及违规办理转诊转院等情形移交稽核审计科严肃查处，并责令立即整改，针对违规办理转诊转院的拒付医保基金。</w:t>
      </w:r>
    </w:p>
    <w:p w14:paraId="545B581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4FFC3951">
      <w:pPr>
        <w:pageBreakBefore w:val="0"/>
        <w:numPr>
          <w:ilvl w:val="0"/>
          <w:numId w:val="0"/>
        </w:numPr>
        <w:kinsoku/>
        <w:overflowPunct/>
        <w:topLinePunct w:val="0"/>
        <w:autoSpaceDE w:val="0"/>
        <w:bidi w:val="0"/>
        <w:spacing w:line="580" w:lineRule="exact"/>
        <w:ind w:left="0" w:firstLine="1446" w:firstLineChars="6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第七章 待遇服务及审核管理</w:t>
      </w:r>
    </w:p>
    <w:p w14:paraId="7EE966B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第十二条：</w:t>
      </w:r>
      <w:r>
        <w:rPr>
          <w:rFonts w:hint="eastAsia" w:asciiTheme="minorEastAsia" w:hAnsiTheme="minorEastAsia" w:eastAsiaTheme="minorEastAsia" w:cstheme="minorEastAsia"/>
          <w:b w:val="0"/>
          <w:bCs w:val="0"/>
          <w:color w:val="auto"/>
          <w:sz w:val="24"/>
          <w:szCs w:val="24"/>
          <w:lang w:val="en-US" w:eastAsia="zh-CN"/>
        </w:rPr>
        <w:t>业务经办人员要严格执行基本医疗保险零星报销经办流程。基本医疗保险零星报销严格执行四级复核制，由经办人受理、费用明细复核，科室负责人复审，稽核部门审计，主管领导最终审批，不合规医疗费拒付。</w:t>
      </w:r>
    </w:p>
    <w:p w14:paraId="7A2E2D4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第十三条：</w:t>
      </w:r>
      <w:r>
        <w:rPr>
          <w:rFonts w:hint="eastAsia" w:asciiTheme="minorEastAsia" w:hAnsiTheme="minorEastAsia" w:eastAsiaTheme="minorEastAsia" w:cstheme="minorEastAsia"/>
          <w:b w:val="0"/>
          <w:bCs w:val="0"/>
          <w:color w:val="auto"/>
          <w:sz w:val="24"/>
          <w:szCs w:val="24"/>
          <w:lang w:val="en-US" w:eastAsia="zh-CN"/>
        </w:rPr>
        <w:t>业务经办人员要严格执行生育保险待遇报销经办流程。生育保险待遇报销包括生育医疗费报销、生育津贴补贴发放。业务经办人员要严格执行四级复核制，由经办人受理，科室负责人复审，稽核部门审计，主管领导最终审批，不合规医疗费拒付。</w:t>
      </w:r>
    </w:p>
    <w:p w14:paraId="472291BD">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第十四条：</w:t>
      </w:r>
      <w:r>
        <w:rPr>
          <w:rFonts w:hint="eastAsia" w:asciiTheme="minorEastAsia" w:hAnsiTheme="minorEastAsia" w:eastAsiaTheme="minorEastAsia" w:cstheme="minorEastAsia"/>
          <w:b w:val="0"/>
          <w:bCs w:val="0"/>
          <w:color w:val="auto"/>
          <w:sz w:val="24"/>
          <w:szCs w:val="24"/>
          <w:lang w:val="en-US" w:eastAsia="zh-CN"/>
        </w:rPr>
        <w:t>业务经办人员要严格执行急诊疾病认定流程。针对急诊疾病的认定，由市医疗保险局分管领导、待遇服务科、稽核科、综合科等专业人员组成认定评估组进行集体评估认定。每周由认定评估组成员对本周受理的急诊认定材料，依据《吉林省医疗生育保险急诊备案登记范围》（吉医保办字[2014]33号）文件要求，逐一进行集体讨论认定。经认定评估组同意即认定结果生效,同时要将认定结果传输至信息科在微信公众平台上进行公示。</w:t>
      </w:r>
    </w:p>
    <w:p w14:paraId="412F999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第十五条：</w:t>
      </w:r>
      <w:r>
        <w:rPr>
          <w:rFonts w:hint="eastAsia" w:asciiTheme="minorEastAsia" w:hAnsiTheme="minorEastAsia" w:eastAsiaTheme="minorEastAsia" w:cstheme="minorEastAsia"/>
          <w:b w:val="0"/>
          <w:bCs w:val="0"/>
          <w:color w:val="auto"/>
          <w:sz w:val="24"/>
          <w:szCs w:val="24"/>
          <w:lang w:val="en-US" w:eastAsia="zh-CN"/>
        </w:rPr>
        <w:t>严格规范国家组织药品集中采购和使用管理。业务经办人员要按照国家制定的有关工作要求，对市本级各医保定点医疗机构上年度中选药品使用情况进行统计、汇总、上报，上报的任务量经上级确认后按照规格、比例等进行量化分解，签订授权协议书及药品采购合同书，督促各医疗机构完成采购任务量。业务经办科室要严格执行科室专人负责任务分解，科室负责人进行复审，定点医疗机构确认，并上报保障局相关科室进行监督。</w:t>
      </w:r>
    </w:p>
    <w:p w14:paraId="3184D43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第十六条：</w:t>
      </w:r>
      <w:r>
        <w:rPr>
          <w:rFonts w:hint="eastAsia" w:asciiTheme="minorEastAsia" w:hAnsiTheme="minorEastAsia" w:eastAsiaTheme="minorEastAsia" w:cstheme="minorEastAsia"/>
          <w:b w:val="0"/>
          <w:bCs w:val="0"/>
          <w:color w:val="auto"/>
          <w:sz w:val="24"/>
          <w:szCs w:val="24"/>
          <w:lang w:val="en-US" w:eastAsia="zh-CN"/>
        </w:rPr>
        <w:t>严格规范特药认证管理。针对特药认证，医院首诊认定后，业务经办科室要明确专人在系统中复核确认。并对纸质材料进行严格审查，科室负责人复审，发现问题及时上报局领导，并与医院沟通、核实，针对系统认证信息与纸质申报材料不一致等问题，责令认定医院立即整改，针对违规认定等问题，拒绝支付相关待遇。</w:t>
      </w:r>
    </w:p>
    <w:p w14:paraId="3945EAA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08CDEF9F">
      <w:pPr>
        <w:pageBreakBefore w:val="0"/>
        <w:numPr>
          <w:ilvl w:val="0"/>
          <w:numId w:val="0"/>
        </w:numPr>
        <w:kinsoku/>
        <w:overflowPunct/>
        <w:topLinePunct w:val="0"/>
        <w:autoSpaceDE w:val="0"/>
        <w:bidi w:val="0"/>
        <w:spacing w:line="580" w:lineRule="exact"/>
        <w:ind w:left="0" w:firstLine="1687" w:firstLineChars="7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第八章 稽核审计管理</w:t>
      </w:r>
    </w:p>
    <w:p w14:paraId="123655F8">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第十七条：</w:t>
      </w:r>
      <w:r>
        <w:rPr>
          <w:rFonts w:hint="eastAsia" w:asciiTheme="minorEastAsia" w:hAnsiTheme="minorEastAsia" w:eastAsiaTheme="minorEastAsia" w:cstheme="minorEastAsia"/>
          <w:b w:val="0"/>
          <w:bCs w:val="0"/>
          <w:color w:val="auto"/>
          <w:sz w:val="24"/>
          <w:szCs w:val="24"/>
          <w:lang w:val="en-US" w:eastAsia="zh-CN"/>
        </w:rPr>
        <w:t xml:space="preserve">严格规范医疗、生育保险缴费基数核定稽核管理，业务经办科室应制定缴费稽核审计计划，确定审计对象、范围，下达《稽核通知书》，要求被稽核单位签署《承诺书》。采取实地稽核、书面稽核、网上稽核等方法完成稽核工作，将稽核结果书面告知被稽核对象，并向被稽核单位下达《稽核告知书》，被稽核对象应在接到告知书15个工作日内提出申辩意见，逾期未提出申辩意见的视同无异议。发现被稽核对象存在相关问题，稽核审计科应提出稽核整改意见并形成《稽核整改意见书》，经领导批示后责令被稽核单位限期整改。同时相关业务经办科室要及时完成业务处理，并反馈稽核部门；被稽核对象接到《稽核整改意见书》后拒不整改的，医疗保险经办机构应出具《提请行政处罚建议书》，报请医疗保障行政部门依法进行处罚；督促参保单位将少缴或漏缴的医保费缴至基金收入户。最后由稽核审计科汇总稽核情况，撰写稽核报告，将材料汇总归档。  </w:t>
      </w:r>
    </w:p>
    <w:p w14:paraId="11CDA6A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第十八条：</w:t>
      </w:r>
      <w:r>
        <w:rPr>
          <w:rFonts w:hint="eastAsia" w:asciiTheme="minorEastAsia" w:hAnsiTheme="minorEastAsia" w:eastAsiaTheme="minorEastAsia" w:cstheme="minorEastAsia"/>
          <w:b w:val="0"/>
          <w:bCs w:val="0"/>
          <w:color w:val="auto"/>
          <w:sz w:val="24"/>
          <w:szCs w:val="24"/>
          <w:lang w:val="en-US" w:eastAsia="zh-CN"/>
        </w:rPr>
        <w:t>严格规范医疗、生育保险待遇稽核管理。业务经办科室应针对待遇稽核工作。制定待遇支付稽核计划，按照稽核计划开展零星医疗费报销、生育医疗费报销、生育津贴发放、医疗救助、大病兜底、特病、特药医疗费报销、等待遇稽核工作。针对存在的问题，提出整改意见，报请领导批示后，业务经办部门做相关整改，及时追回违规发放的基金，最后汇总稽核情况，撰写稽核报告，将材料汇总归档。</w:t>
      </w:r>
    </w:p>
    <w:p w14:paraId="100D6B0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第十九条：</w:t>
      </w:r>
      <w:r>
        <w:rPr>
          <w:rFonts w:hint="eastAsia" w:asciiTheme="minorEastAsia" w:hAnsiTheme="minorEastAsia" w:eastAsiaTheme="minorEastAsia" w:cstheme="minorEastAsia"/>
          <w:b w:val="0"/>
          <w:bCs w:val="0"/>
          <w:color w:val="auto"/>
          <w:sz w:val="24"/>
          <w:szCs w:val="24"/>
          <w:lang w:val="en-US" w:eastAsia="zh-CN"/>
        </w:rPr>
        <w:t>严格规范基本医疗保险定点服务机构履约稽</w:t>
      </w:r>
    </w:p>
    <w:p w14:paraId="67326E8C">
      <w:pPr>
        <w:pageBreakBefore w:val="0"/>
        <w:kinsoku/>
        <w:overflowPunct/>
        <w:topLinePunct w:val="0"/>
        <w:bidi w:val="0"/>
        <w:spacing w:line="580" w:lineRule="exact"/>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核管理。业务经办科室针对定点服务机构履约稽核，应严格拟定稽核工作计划，确定审计对象、范围，报请领导审批后，确定稽核的定点医药机构，并下发稽核检查通知，开展稽核工作，填写相应的工作记录、主要稽核内容。针对存在的问题，提出整改意见，报请领导批示后，责令存在问题的定点医药机构做相关整改。最后稽核审计部门汇总稽核情况，撰写稽核报告并归档立卷。</w:t>
      </w:r>
    </w:p>
    <w:p w14:paraId="2E9F880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0789AEF4">
      <w:pPr>
        <w:pageBreakBefore w:val="0"/>
        <w:numPr>
          <w:ilvl w:val="0"/>
          <w:numId w:val="0"/>
        </w:numPr>
        <w:kinsoku/>
        <w:overflowPunct/>
        <w:topLinePunct w:val="0"/>
        <w:autoSpaceDE w:val="0"/>
        <w:bidi w:val="0"/>
        <w:spacing w:line="580" w:lineRule="exact"/>
        <w:ind w:left="0" w:firstLine="1205" w:firstLineChars="5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第九章 内部控制的监督检查管理</w:t>
      </w:r>
    </w:p>
    <w:p w14:paraId="7455916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第二十条：</w:t>
      </w:r>
      <w:r>
        <w:rPr>
          <w:rFonts w:hint="eastAsia" w:asciiTheme="minorEastAsia" w:hAnsiTheme="minorEastAsia" w:eastAsiaTheme="minorEastAsia" w:cstheme="minorEastAsia"/>
          <w:b w:val="0"/>
          <w:bCs w:val="0"/>
          <w:color w:val="auto"/>
          <w:sz w:val="24"/>
          <w:szCs w:val="24"/>
          <w:lang w:val="en-US" w:eastAsia="zh-CN"/>
        </w:rPr>
        <w:t>稽核部门应履行内部控制的管理与监督职能，依照国家、省有关医疗、生育保险法规、政策以及规范性文件，制定内部控制监督检查的年度及日常工作计划，报单位领导批准后，定期或不定期对内部控制体系的运行情况进行检查。</w:t>
      </w:r>
    </w:p>
    <w:p w14:paraId="50EEEE54">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第二十一条：</w:t>
      </w:r>
      <w:r>
        <w:rPr>
          <w:rFonts w:hint="eastAsia" w:asciiTheme="minorEastAsia" w:hAnsiTheme="minorEastAsia" w:eastAsiaTheme="minorEastAsia" w:cstheme="minorEastAsia"/>
          <w:b w:val="0"/>
          <w:bCs w:val="0"/>
          <w:color w:val="auto"/>
          <w:sz w:val="24"/>
          <w:szCs w:val="24"/>
          <w:lang w:val="en-US" w:eastAsia="zh-CN"/>
        </w:rPr>
        <w:t>稽核部门对本级有关部门内部控制的监督检查采取双随机不定期的方式执行。市级医疗保险经办机构对县级医疗保险管理机构内部控制的监督检查每半年一次。</w:t>
      </w:r>
    </w:p>
    <w:p w14:paraId="6F406F53">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稽核部门应在每年1月底前向本单位领导提交上年度内部控制监督检查工作情况报告。内部控制监督检查采取重点抽查的方式。</w:t>
      </w:r>
    </w:p>
    <w:p w14:paraId="4F970C59">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第二十二条：</w:t>
      </w:r>
      <w:r>
        <w:rPr>
          <w:rFonts w:hint="eastAsia" w:asciiTheme="minorEastAsia" w:hAnsiTheme="minorEastAsia" w:eastAsiaTheme="minorEastAsia" w:cstheme="minorEastAsia"/>
          <w:b w:val="0"/>
          <w:bCs w:val="0"/>
          <w:color w:val="auto"/>
          <w:sz w:val="24"/>
          <w:szCs w:val="24"/>
          <w:lang w:val="en-US" w:eastAsia="zh-CN"/>
        </w:rPr>
        <w:t>建立健全内控考评机制。内控考评工作采取本级自评、上一级考评的形式进行。市医疗保险经办机构负责考评各县（市、区）医疗保险机构，内控考评工作每年进行一次，考评时限为上年度。考评内容：</w:t>
      </w:r>
    </w:p>
    <w:p w14:paraId="715217A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1、单位领导是否重视内控建设。包括单位领导对内控建设的关注和要求，建立有利于控制风险的组织架构等内容。</w:t>
      </w:r>
    </w:p>
    <w:p w14:paraId="518F137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2、医疗保险机构是否制订科学合理的内部控制制度，并按内控制度的规定，完善业务操作规程和落实岗位责任制。</w:t>
      </w:r>
    </w:p>
    <w:p w14:paraId="06218E0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3、各项业务是否严格按照业务操作规程办理，岗位责任制是否落实，是否存在滥用职权、徇私舞弊、玩忽职守等行为。</w:t>
      </w:r>
    </w:p>
    <w:p w14:paraId="1DC394B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4、各项业务办理环节中的办理手续是否完备，相关凭证是否真实有效，数据录入是否完整准确，相关岗位之间的制约是否落实。</w:t>
      </w:r>
    </w:p>
    <w:p w14:paraId="7003AEE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5、基金的收支是否符合标准和规定；是否存在医疗、生育保险基金被贪污、挪用、截留等现象。</w:t>
      </w:r>
    </w:p>
    <w:p w14:paraId="696AA75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第二十三条：</w:t>
      </w:r>
      <w:r>
        <w:rPr>
          <w:rFonts w:hint="eastAsia" w:asciiTheme="minorEastAsia" w:hAnsiTheme="minorEastAsia" w:eastAsiaTheme="minorEastAsia" w:cstheme="minorEastAsia"/>
          <w:b w:val="0"/>
          <w:bCs w:val="0"/>
          <w:color w:val="auto"/>
          <w:sz w:val="24"/>
          <w:szCs w:val="24"/>
          <w:lang w:val="en-US" w:eastAsia="zh-CN"/>
        </w:rPr>
        <w:t>建立奖惩制度。对内控工作好的医疗保险机构和个人进行表扬和奖励。医疗保险机构工作人员不遵守内部控制制度而造成不良后果的，应视情节轻重追究相应行政责任，并予以相应处罚；情节严重构成犯罪的，依法追究刑事责任。</w:t>
      </w:r>
    </w:p>
    <w:p w14:paraId="0E09E16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14697120">
      <w:pPr>
        <w:pageBreakBefore w:val="0"/>
        <w:numPr>
          <w:ilvl w:val="0"/>
          <w:numId w:val="0"/>
        </w:numPr>
        <w:kinsoku/>
        <w:overflowPunct/>
        <w:topLinePunct w:val="0"/>
        <w:autoSpaceDE w:val="0"/>
        <w:bidi w:val="0"/>
        <w:spacing w:line="580" w:lineRule="exact"/>
        <w:ind w:left="0" w:firstLine="1446" w:firstLineChars="6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第十章 基金财务控制管理</w:t>
      </w:r>
    </w:p>
    <w:p w14:paraId="470428D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44"/>
          <w:sz w:val="24"/>
          <w:szCs w:val="24"/>
          <w:lang w:val="en-US" w:eastAsia="zh-CN" w:bidi="ar-SA"/>
        </w:rPr>
        <w:t>第二十四条：</w:t>
      </w:r>
      <w:r>
        <w:rPr>
          <w:rFonts w:hint="eastAsia" w:asciiTheme="minorEastAsia" w:hAnsiTheme="minorEastAsia" w:eastAsiaTheme="minorEastAsia" w:cstheme="minorEastAsia"/>
          <w:b w:val="0"/>
          <w:bCs w:val="0"/>
          <w:color w:val="auto"/>
          <w:sz w:val="24"/>
          <w:szCs w:val="24"/>
          <w:lang w:val="en-US" w:eastAsia="zh-CN"/>
        </w:rPr>
        <w:t>基金财务管理严格按照国家法律、法规、政策执行，建立明确的会计操作规程，对财务处理的全过程实施监督。</w:t>
      </w:r>
    </w:p>
    <w:p w14:paraId="0274ABB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第二十五条：</w:t>
      </w:r>
      <w:r>
        <w:rPr>
          <w:rFonts w:hint="eastAsia" w:asciiTheme="minorEastAsia" w:hAnsiTheme="minorEastAsia" w:eastAsiaTheme="minorEastAsia" w:cstheme="minorEastAsia"/>
          <w:b w:val="0"/>
          <w:bCs w:val="0"/>
          <w:color w:val="auto"/>
          <w:sz w:val="24"/>
          <w:szCs w:val="24"/>
          <w:lang w:val="en-US" w:eastAsia="zh-CN"/>
        </w:rPr>
        <w:t>基金财务科要严密会计控制。依据保险基金财务制度和保险基金会计制度建帐，按照不同险种分帐核算，各险种之间、统筹基金与个人帐户之间不得互相挤占。会计科目设置准确、规范，帐务处理符合财务会计要求。记帐依据的原始凭证、记帐凭证合法有效，凭证、帐薄摘要内容准确，能清晰反映业务内容。</w:t>
      </w:r>
    </w:p>
    <w:p w14:paraId="374C50A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第二十六条：</w:t>
      </w:r>
      <w:r>
        <w:rPr>
          <w:rFonts w:hint="eastAsia" w:asciiTheme="minorEastAsia" w:hAnsiTheme="minorEastAsia" w:eastAsiaTheme="minorEastAsia" w:cstheme="minorEastAsia"/>
          <w:b w:val="0"/>
          <w:bCs w:val="0"/>
          <w:color w:val="auto"/>
          <w:sz w:val="24"/>
          <w:szCs w:val="24"/>
          <w:lang w:val="en-US" w:eastAsia="zh-CN"/>
        </w:rPr>
        <w:t>要明确岗位责任。基金财务部门应设置会计负责人（主管）、记帐、复核、出纳等财务岗位，明确各岗位的职责范围。财务收支审批实行分级授权，未经授权不得越岗代办。出纳员不得兼任稽核、会计档案保管和收入、支出、债权债务帐目的登录工作；帐务印鉴、票据、空白凭证实行专人管理并有登记，办理付款业务所需印章不得由一人集中保管。会计人员轮岗或调离时，必须严格履行交接手续。</w:t>
      </w:r>
    </w:p>
    <w:p w14:paraId="3CF32CF9">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第二十七条：</w:t>
      </w:r>
      <w:r>
        <w:rPr>
          <w:rFonts w:hint="eastAsia" w:asciiTheme="minorEastAsia" w:hAnsiTheme="minorEastAsia" w:eastAsiaTheme="minorEastAsia" w:cstheme="minorEastAsia"/>
          <w:b w:val="0"/>
          <w:bCs w:val="0"/>
          <w:color w:val="auto"/>
          <w:sz w:val="24"/>
          <w:szCs w:val="24"/>
          <w:lang w:val="en-US" w:eastAsia="zh-CN"/>
        </w:rPr>
        <w:t>建立合理的责任分离制度。货币、有价证券的保管与帐务处理相分离；资金收支审批与具体业务办理相分离；信息数据处理与业务办理及会计处理相分离。</w:t>
      </w:r>
    </w:p>
    <w:p w14:paraId="29B0AC9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第二十八条：</w:t>
      </w:r>
      <w:r>
        <w:rPr>
          <w:rFonts w:hint="eastAsia" w:asciiTheme="minorEastAsia" w:hAnsiTheme="minorEastAsia" w:eastAsiaTheme="minorEastAsia" w:cstheme="minorEastAsia"/>
          <w:b w:val="0"/>
          <w:bCs w:val="0"/>
          <w:color w:val="auto"/>
          <w:sz w:val="24"/>
          <w:szCs w:val="24"/>
          <w:lang w:val="en-US" w:eastAsia="zh-CN"/>
        </w:rPr>
        <w:t>基本医疗基金、医疗救助资金帐务核对制度。对不同帐务应定期核对，做到帐帐、帐证、帐表、帐据、帐实、财务帐与业务帐相符。</w:t>
      </w:r>
    </w:p>
    <w:p w14:paraId="6A37AB8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第二十九条：</w:t>
      </w:r>
      <w:r>
        <w:rPr>
          <w:rFonts w:hint="eastAsia" w:asciiTheme="minorEastAsia" w:hAnsiTheme="minorEastAsia" w:eastAsiaTheme="minorEastAsia" w:cstheme="minorEastAsia"/>
          <w:b w:val="0"/>
          <w:bCs w:val="0"/>
          <w:color w:val="auto"/>
          <w:sz w:val="24"/>
          <w:szCs w:val="24"/>
          <w:lang w:val="en-US" w:eastAsia="zh-CN"/>
        </w:rPr>
        <w:t>基金财务部门应指定专人按月核对基金收入户、支出户、财政专户。应对帐目的差异进行审核分析、及时处理。应定期对现金、票据和存单、债券等有价证券进行检查、核对、登记和管理。应对业务部门核定的待遇支出数据进行复核后结算。通过手工方式交换医疗保险费征收数据的核对、确认实到帐数据的业务环节应经二人以上操作。</w:t>
      </w:r>
    </w:p>
    <w:p w14:paraId="3A4620E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4AA27C21">
      <w:pPr>
        <w:pageBreakBefore w:val="0"/>
        <w:numPr>
          <w:ilvl w:val="0"/>
          <w:numId w:val="0"/>
        </w:numPr>
        <w:kinsoku/>
        <w:overflowPunct/>
        <w:topLinePunct w:val="0"/>
        <w:autoSpaceDE w:val="0"/>
        <w:bidi w:val="0"/>
        <w:spacing w:line="580" w:lineRule="exact"/>
        <w:ind w:left="0" w:firstLine="1446" w:firstLineChars="6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第十一章 责任追究管理</w:t>
      </w:r>
    </w:p>
    <w:p w14:paraId="55A1E19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第三十条：各项业务经办的直接责任人为直接经办该项业务的工作人员，监管责任人为业务科室负责人。</w:t>
      </w:r>
    </w:p>
    <w:p w14:paraId="64E8683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第三十一条：违反下列情形之一的实施责任追究：</w:t>
      </w:r>
    </w:p>
    <w:p w14:paraId="4DF22C42">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1、违反业务经办操作规程，导致业务经办造成后果的。</w:t>
      </w:r>
    </w:p>
    <w:p w14:paraId="28EBC08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2、业务经办过程中存在人情因素干扰，导致业务经办违反政策规定且造成后果的。</w:t>
      </w:r>
    </w:p>
    <w:p w14:paraId="514FF42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3、业务经办过程中针对服务对象吃、拿、卡、要、内外勾结、推诿扯皮、服务态度恶劣、不作为、慢作为、乱作为等且造成后果的。</w:t>
      </w:r>
    </w:p>
    <w:p w14:paraId="3389CFC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4、业务经办过程中存在侵占、挪用、贪污等医保基金行为的。</w:t>
      </w:r>
    </w:p>
    <w:p w14:paraId="0C57A4F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5、其他违反政策法规行为的；</w:t>
      </w:r>
    </w:p>
    <w:p w14:paraId="3FCEDDA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三十二条：针对存在以上情形的直接责任人和监管责任人，情节较轻且未造成后果的给予批评教育，责令改正。对于因工作失职失责、监管不力且造成后果的责令整改并追缴经济损失，同时调离工作岗位。对于违反相关法律法规且造成严重后果的移交司法机关严肃问责。</w:t>
      </w:r>
    </w:p>
    <w:p w14:paraId="019A57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09F1B00D">
      <w:pPr>
        <w:pageBreakBefore w:val="0"/>
        <w:numPr>
          <w:ilvl w:val="0"/>
          <w:numId w:val="0"/>
        </w:numPr>
        <w:kinsoku/>
        <w:overflowPunct/>
        <w:topLinePunct w:val="0"/>
        <w:autoSpaceDE w:val="0"/>
        <w:bidi w:val="0"/>
        <w:spacing w:line="580" w:lineRule="exact"/>
        <w:ind w:left="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               第十二章 附则</w:t>
      </w:r>
    </w:p>
    <w:p w14:paraId="3B786382">
      <w:pPr>
        <w:bidi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第三十三条：本制度自颁布之日起执行。</w:t>
      </w:r>
    </w:p>
    <w:p w14:paraId="2088C4CE">
      <w:pPr>
        <w:bidi w:val="0"/>
        <w:rPr>
          <w:rFonts w:hint="eastAsia" w:asciiTheme="minorEastAsia" w:hAnsiTheme="minorEastAsia" w:eastAsiaTheme="minorEastAsia" w:cstheme="minorEastAsia"/>
          <w:b/>
          <w:bCs/>
        </w:rPr>
      </w:pPr>
    </w:p>
    <w:p w14:paraId="5BCF4CC6">
      <w:pPr>
        <w:bidi w:val="0"/>
        <w:rPr>
          <w:rFonts w:hint="eastAsia" w:asciiTheme="minorEastAsia" w:hAnsiTheme="minorEastAsia" w:eastAsiaTheme="minorEastAsia" w:cstheme="minorEastAsia"/>
          <w:b/>
          <w:bCs/>
        </w:rPr>
      </w:pPr>
    </w:p>
    <w:p w14:paraId="43BA4466">
      <w:pPr>
        <w:bidi w:val="0"/>
        <w:rPr>
          <w:rFonts w:hint="eastAsia" w:asciiTheme="minorEastAsia" w:hAnsiTheme="minorEastAsia" w:eastAsiaTheme="minorEastAsia" w:cstheme="minorEastAsia"/>
          <w:b/>
          <w:bCs/>
        </w:rPr>
      </w:pPr>
    </w:p>
    <w:p w14:paraId="4A714589">
      <w:pPr>
        <w:bidi w:val="0"/>
        <w:rPr>
          <w:rFonts w:hint="eastAsia" w:asciiTheme="minorEastAsia" w:hAnsiTheme="minorEastAsia" w:eastAsiaTheme="minorEastAsia" w:cstheme="minorEastAsia"/>
          <w:b/>
          <w:bCs/>
        </w:rPr>
      </w:pPr>
    </w:p>
    <w:p w14:paraId="4EB298AC">
      <w:pPr>
        <w:bidi w:val="0"/>
        <w:rPr>
          <w:rFonts w:hint="eastAsia" w:asciiTheme="minorEastAsia" w:hAnsiTheme="minorEastAsia" w:eastAsiaTheme="minorEastAsia" w:cstheme="minorEastAsia"/>
          <w:b/>
          <w:bCs/>
        </w:rPr>
      </w:pPr>
    </w:p>
    <w:p w14:paraId="300BEEF3">
      <w:pPr>
        <w:bidi w:val="0"/>
        <w:rPr>
          <w:rFonts w:hint="eastAsia" w:asciiTheme="minorEastAsia" w:hAnsiTheme="minorEastAsia" w:eastAsiaTheme="minorEastAsia" w:cstheme="minorEastAsia"/>
          <w:b/>
          <w:bCs/>
        </w:rPr>
      </w:pPr>
    </w:p>
    <w:p w14:paraId="2D1A6C28">
      <w:pPr>
        <w:bidi w:val="0"/>
        <w:rPr>
          <w:rFonts w:hint="eastAsia" w:asciiTheme="minorEastAsia" w:hAnsiTheme="minorEastAsia" w:eastAsiaTheme="minorEastAsia" w:cstheme="minorEastAsia"/>
          <w:b/>
          <w:bCs/>
        </w:rPr>
      </w:pPr>
    </w:p>
    <w:p w14:paraId="53BB698A">
      <w:pPr>
        <w:bidi w:val="0"/>
        <w:rPr>
          <w:rFonts w:hint="eastAsia" w:asciiTheme="minorEastAsia" w:hAnsiTheme="minorEastAsia" w:eastAsiaTheme="minorEastAsia" w:cstheme="minorEastAsia"/>
          <w:b/>
          <w:bCs/>
        </w:rPr>
      </w:pPr>
    </w:p>
    <w:p w14:paraId="1DECEA3F">
      <w:pPr>
        <w:bidi w:val="0"/>
        <w:rPr>
          <w:rFonts w:hint="eastAsia" w:asciiTheme="minorEastAsia" w:hAnsiTheme="minorEastAsia" w:eastAsiaTheme="minorEastAsia" w:cstheme="minorEastAsia"/>
          <w:b/>
          <w:bCs/>
        </w:rPr>
      </w:pPr>
    </w:p>
    <w:p w14:paraId="1B47FA77">
      <w:pPr>
        <w:bidi w:val="0"/>
        <w:rPr>
          <w:rFonts w:hint="eastAsia" w:asciiTheme="minorEastAsia" w:hAnsiTheme="minorEastAsia" w:eastAsiaTheme="minorEastAsia" w:cstheme="minorEastAsia"/>
          <w:b/>
          <w:bCs/>
        </w:rPr>
      </w:pPr>
    </w:p>
    <w:p w14:paraId="287ED96A">
      <w:pPr>
        <w:bidi w:val="0"/>
        <w:rPr>
          <w:rFonts w:hint="eastAsia" w:asciiTheme="minorEastAsia" w:hAnsiTheme="minorEastAsia" w:eastAsiaTheme="minorEastAsia" w:cstheme="minorEastAsia"/>
          <w:b/>
          <w:bCs/>
        </w:rPr>
      </w:pPr>
    </w:p>
    <w:p w14:paraId="36B236C1">
      <w:pPr>
        <w:bidi w:val="0"/>
        <w:rPr>
          <w:rFonts w:hint="eastAsia" w:asciiTheme="minorEastAsia" w:hAnsiTheme="minorEastAsia" w:eastAsiaTheme="minorEastAsia" w:cstheme="minorEastAsia"/>
          <w:b/>
          <w:bCs/>
        </w:rPr>
      </w:pPr>
    </w:p>
    <w:p w14:paraId="0D670985">
      <w:pPr>
        <w:bidi w:val="0"/>
        <w:rPr>
          <w:rFonts w:hint="eastAsia" w:asciiTheme="minorEastAsia" w:hAnsiTheme="minorEastAsia" w:eastAsiaTheme="minorEastAsia" w:cstheme="minorEastAsia"/>
          <w:b/>
          <w:bCs/>
        </w:rPr>
      </w:pPr>
    </w:p>
    <w:p w14:paraId="59FD8BCB">
      <w:pPr>
        <w:bidi w:val="0"/>
        <w:rPr>
          <w:rFonts w:hint="eastAsia" w:asciiTheme="minorEastAsia" w:hAnsiTheme="minorEastAsia" w:eastAsiaTheme="minorEastAsia" w:cstheme="minorEastAsia"/>
          <w:b/>
          <w:bCs/>
        </w:rPr>
      </w:pPr>
    </w:p>
    <w:p w14:paraId="7E9100B5">
      <w:pPr>
        <w:bidi w:val="0"/>
        <w:rPr>
          <w:rFonts w:hint="eastAsia" w:asciiTheme="minorEastAsia" w:hAnsiTheme="minorEastAsia" w:eastAsiaTheme="minorEastAsia" w:cstheme="minorEastAsia"/>
          <w:b/>
          <w:bCs/>
        </w:rPr>
      </w:pPr>
    </w:p>
    <w:p w14:paraId="1B6CE55A">
      <w:pPr>
        <w:bidi w:val="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行政执法方面的管理制度</w:t>
      </w:r>
    </w:p>
    <w:p w14:paraId="1690D2A0">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基金监管工作制度</w:t>
      </w:r>
    </w:p>
    <w:p w14:paraId="5B8A76A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为认真贯彻落实国家、省医疗保障局关于做好医疗保障基金监管工作部署和要求，切实将打击欺诈骗保、保障基金安全运行、高效使用好广大人民群众的“保命钱、救命钱”作为医疗保障重点工作，压实基金监管工作责任，在全市营造堵漏洞、强监管、重惩处、严震慑的监管氛围，根据《</w:t>
      </w:r>
      <w:r>
        <w:rPr>
          <w:rFonts w:hint="eastAsia" w:asciiTheme="minorEastAsia" w:hAnsiTheme="minorEastAsia" w:eastAsiaTheme="minorEastAsia" w:cstheme="minorEastAsia"/>
          <w:b w:val="0"/>
          <w:bCs w:val="0"/>
          <w:color w:val="auto"/>
          <w:sz w:val="24"/>
          <w:szCs w:val="24"/>
          <w:lang w:val="zh-TW" w:eastAsia="zh-TW"/>
        </w:rPr>
        <w:t>中华人民共和国保险法》</w:t>
      </w:r>
      <w:r>
        <w:rPr>
          <w:rFonts w:hint="eastAsia" w:asciiTheme="minorEastAsia" w:hAnsiTheme="minorEastAsia" w:eastAsiaTheme="minorEastAsia" w:cstheme="minorEastAsia"/>
          <w:b w:val="0"/>
          <w:bCs w:val="0"/>
          <w:color w:val="auto"/>
          <w:sz w:val="24"/>
          <w:szCs w:val="24"/>
        </w:rPr>
        <w:t>（中华人民共和国主席令第三十五号）、</w:t>
      </w:r>
      <w:r>
        <w:rPr>
          <w:rFonts w:hint="eastAsia" w:asciiTheme="minorEastAsia" w:hAnsiTheme="minorEastAsia" w:eastAsiaTheme="minorEastAsia" w:cstheme="minorEastAsia"/>
          <w:b w:val="0"/>
          <w:bCs w:val="0"/>
          <w:color w:val="auto"/>
          <w:sz w:val="24"/>
          <w:szCs w:val="24"/>
          <w:lang w:val="zh-TW"/>
        </w:rPr>
        <w:t>《吉林省欺诈骗取医疗保障基金行为举报奖励实施细则（试行）的通知》（吉医保联〔201</w:t>
      </w:r>
      <w:r>
        <w:rPr>
          <w:rFonts w:hint="eastAsia" w:asciiTheme="minorEastAsia" w:hAnsiTheme="minorEastAsia" w:eastAsiaTheme="minorEastAsia" w:cstheme="minorEastAsia"/>
          <w:b w:val="0"/>
          <w:bCs w:val="0"/>
          <w:color w:val="auto"/>
          <w:sz w:val="24"/>
          <w:szCs w:val="24"/>
        </w:rPr>
        <w:t>9</w:t>
      </w:r>
      <w:r>
        <w:rPr>
          <w:rFonts w:hint="eastAsia" w:asciiTheme="minorEastAsia" w:hAnsiTheme="minorEastAsia" w:eastAsiaTheme="minorEastAsia" w:cstheme="minorEastAsia"/>
          <w:b w:val="0"/>
          <w:bCs w:val="0"/>
          <w:color w:val="auto"/>
          <w:sz w:val="24"/>
          <w:szCs w:val="24"/>
          <w:lang w:val="zh-TW"/>
        </w:rPr>
        <w:t>〕</w:t>
      </w:r>
      <w:r>
        <w:rPr>
          <w:rFonts w:hint="eastAsia" w:asciiTheme="minorEastAsia" w:hAnsiTheme="minorEastAsia" w:eastAsiaTheme="minorEastAsia" w:cstheme="minorEastAsia"/>
          <w:b w:val="0"/>
          <w:bCs w:val="0"/>
          <w:color w:val="auto"/>
          <w:sz w:val="24"/>
          <w:szCs w:val="24"/>
        </w:rPr>
        <w:t>7号</w:t>
      </w:r>
      <w:r>
        <w:rPr>
          <w:rFonts w:hint="eastAsia" w:asciiTheme="minorEastAsia" w:hAnsiTheme="minorEastAsia" w:eastAsiaTheme="minorEastAsia" w:cstheme="minorEastAsia"/>
          <w:b w:val="0"/>
          <w:bCs w:val="0"/>
          <w:color w:val="auto"/>
          <w:sz w:val="24"/>
          <w:szCs w:val="24"/>
          <w:lang w:val="zh-TW"/>
        </w:rPr>
        <w:t>）</w:t>
      </w:r>
      <w:r>
        <w:rPr>
          <w:rFonts w:hint="eastAsia" w:asciiTheme="minorEastAsia" w:hAnsiTheme="minorEastAsia" w:eastAsiaTheme="minorEastAsia" w:cstheme="minorEastAsia"/>
          <w:b w:val="0"/>
          <w:bCs w:val="0"/>
          <w:color w:val="auto"/>
          <w:sz w:val="24"/>
          <w:szCs w:val="24"/>
        </w:rPr>
        <w:t>、《国家医疗保障局关于做好2020年医疗保障基金监管工作的通知》（医保函〔2020〕1号）、《2020年吉林省医保基金监督检查专项治理工作方案》（吉医保发[2020]22号）</w:t>
      </w:r>
      <w:r>
        <w:rPr>
          <w:rFonts w:hint="eastAsia" w:asciiTheme="minorEastAsia" w:hAnsiTheme="minorEastAsia" w:eastAsiaTheme="minorEastAsia" w:cstheme="minorEastAsia"/>
          <w:b w:val="0"/>
          <w:bCs w:val="0"/>
          <w:color w:val="auto"/>
          <w:sz w:val="24"/>
          <w:szCs w:val="24"/>
          <w:lang w:val="en-US" w:eastAsia="zh-CN"/>
        </w:rPr>
        <w:t>等有关规定，结合白城市医疗保障局工作实际，</w:t>
      </w:r>
      <w:r>
        <w:rPr>
          <w:rFonts w:hint="eastAsia" w:asciiTheme="minorEastAsia" w:hAnsiTheme="minorEastAsia" w:eastAsiaTheme="minorEastAsia" w:cstheme="minorEastAsia"/>
          <w:b w:val="0"/>
          <w:bCs w:val="0"/>
          <w:color w:val="auto"/>
          <w:sz w:val="24"/>
          <w:szCs w:val="24"/>
        </w:rPr>
        <w:t>制定</w:t>
      </w:r>
      <w:r>
        <w:rPr>
          <w:rFonts w:hint="eastAsia" w:asciiTheme="minorEastAsia" w:hAnsiTheme="minorEastAsia" w:eastAsiaTheme="minorEastAsia" w:cstheme="minorEastAsia"/>
          <w:b w:val="0"/>
          <w:bCs w:val="0"/>
          <w:color w:val="auto"/>
          <w:sz w:val="24"/>
          <w:szCs w:val="24"/>
          <w:lang w:val="en-US" w:eastAsia="zh-CN"/>
        </w:rPr>
        <w:t>本</w:t>
      </w:r>
      <w:r>
        <w:rPr>
          <w:rFonts w:hint="eastAsia" w:asciiTheme="minorEastAsia" w:hAnsiTheme="minorEastAsia" w:eastAsiaTheme="minorEastAsia" w:cstheme="minorEastAsia"/>
          <w:b w:val="0"/>
          <w:bCs w:val="0"/>
          <w:color w:val="auto"/>
          <w:sz w:val="24"/>
          <w:szCs w:val="24"/>
        </w:rPr>
        <w:t>制度</w:t>
      </w:r>
      <w:r>
        <w:rPr>
          <w:rFonts w:hint="eastAsia" w:asciiTheme="minorEastAsia" w:hAnsiTheme="minorEastAsia" w:eastAsiaTheme="minorEastAsia" w:cstheme="minorEastAsia"/>
          <w:b w:val="0"/>
          <w:bCs w:val="0"/>
          <w:color w:val="auto"/>
          <w:sz w:val="24"/>
          <w:szCs w:val="24"/>
          <w:lang w:eastAsia="zh-CN"/>
        </w:rPr>
        <w:t>。</w:t>
      </w:r>
    </w:p>
    <w:p w14:paraId="52F63E7A">
      <w:pPr>
        <w:pageBreakBefore w:val="0"/>
        <w:numPr>
          <w:ilvl w:val="0"/>
          <w:numId w:val="0"/>
        </w:numPr>
        <w:kinsoku/>
        <w:overflowPunct/>
        <w:topLinePunct w:val="0"/>
        <w:bidi w:val="0"/>
        <w:spacing w:line="580" w:lineRule="exact"/>
        <w:ind w:firstLine="482" w:firstLineChars="2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一、工作职责</w:t>
      </w:r>
    </w:p>
    <w:p w14:paraId="5E94200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第一条 </w:t>
      </w:r>
      <w:r>
        <w:rPr>
          <w:rFonts w:hint="eastAsia" w:asciiTheme="minorEastAsia" w:hAnsiTheme="minorEastAsia" w:eastAsiaTheme="minorEastAsia" w:cstheme="minorEastAsia"/>
          <w:b w:val="0"/>
          <w:bCs w:val="0"/>
          <w:color w:val="auto"/>
          <w:kern w:val="0"/>
          <w:sz w:val="24"/>
          <w:szCs w:val="24"/>
        </w:rPr>
        <w:t>拟订全市医疗保障基金监督管理办法并组织实施；</w:t>
      </w:r>
    </w:p>
    <w:p w14:paraId="5419DA3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第二条 </w:t>
      </w:r>
      <w:r>
        <w:rPr>
          <w:rFonts w:hint="eastAsia" w:asciiTheme="minorEastAsia" w:hAnsiTheme="minorEastAsia" w:eastAsiaTheme="minorEastAsia" w:cstheme="minorEastAsia"/>
          <w:b w:val="0"/>
          <w:bCs w:val="0"/>
          <w:color w:val="auto"/>
          <w:kern w:val="0"/>
          <w:sz w:val="24"/>
          <w:szCs w:val="24"/>
        </w:rPr>
        <w:t>制定医疗保障基金征缴和支出计划并组织落实；</w:t>
      </w:r>
    </w:p>
    <w:p w14:paraId="5F1595A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第三条 </w:t>
      </w:r>
      <w:r>
        <w:rPr>
          <w:rFonts w:hint="eastAsia" w:asciiTheme="minorEastAsia" w:hAnsiTheme="minorEastAsia" w:eastAsiaTheme="minorEastAsia" w:cstheme="minorEastAsia"/>
          <w:b w:val="0"/>
          <w:bCs w:val="0"/>
          <w:color w:val="auto"/>
          <w:kern w:val="0"/>
          <w:sz w:val="24"/>
          <w:szCs w:val="24"/>
        </w:rPr>
        <w:t>负责编制全市医疗保障基金预决算草案，组织实施基金预算；</w:t>
      </w:r>
    </w:p>
    <w:p w14:paraId="1CB514A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第四条 </w:t>
      </w:r>
      <w:r>
        <w:rPr>
          <w:rFonts w:hint="eastAsia" w:asciiTheme="minorEastAsia" w:hAnsiTheme="minorEastAsia" w:eastAsiaTheme="minorEastAsia" w:cstheme="minorEastAsia"/>
          <w:b w:val="0"/>
          <w:bCs w:val="0"/>
          <w:color w:val="auto"/>
          <w:kern w:val="0"/>
          <w:sz w:val="24"/>
          <w:szCs w:val="24"/>
        </w:rPr>
        <w:t>拟订全市年度医疗保险调剂金提取使用办法并组织实施；</w:t>
      </w:r>
    </w:p>
    <w:p w14:paraId="67491AE1">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第五条 </w:t>
      </w:r>
      <w:r>
        <w:rPr>
          <w:rFonts w:hint="eastAsia" w:asciiTheme="minorEastAsia" w:hAnsiTheme="minorEastAsia" w:eastAsiaTheme="minorEastAsia" w:cstheme="minorEastAsia"/>
          <w:b w:val="0"/>
          <w:bCs w:val="0"/>
          <w:color w:val="auto"/>
          <w:kern w:val="0"/>
          <w:sz w:val="24"/>
          <w:szCs w:val="24"/>
        </w:rPr>
        <w:t>建立健全医疗保障信用评价体系和信息披露制度</w:t>
      </w:r>
      <w:r>
        <w:rPr>
          <w:rFonts w:hint="eastAsia" w:asciiTheme="minorEastAsia" w:hAnsiTheme="minorEastAsia" w:eastAsiaTheme="minorEastAsia" w:cstheme="minorEastAsia"/>
          <w:b w:val="0"/>
          <w:bCs w:val="0"/>
          <w:color w:val="auto"/>
          <w:sz w:val="24"/>
          <w:szCs w:val="24"/>
        </w:rPr>
        <w:t>；</w:t>
      </w:r>
    </w:p>
    <w:p w14:paraId="1E4221E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第六条 </w:t>
      </w:r>
      <w:r>
        <w:rPr>
          <w:rFonts w:hint="eastAsia" w:asciiTheme="minorEastAsia" w:hAnsiTheme="minorEastAsia" w:eastAsiaTheme="minorEastAsia" w:cstheme="minorEastAsia"/>
          <w:b w:val="0"/>
          <w:bCs w:val="0"/>
          <w:color w:val="auto"/>
          <w:sz w:val="24"/>
          <w:szCs w:val="24"/>
        </w:rPr>
        <w:t>负责对全市医疗保障系统医保基金方面投诉、举报事件的接待、受理、调查核实和处理；</w:t>
      </w:r>
    </w:p>
    <w:p w14:paraId="33647F2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第七条</w:t>
      </w:r>
      <w:r>
        <w:rPr>
          <w:rFonts w:hint="eastAsia" w:asciiTheme="minorEastAsia" w:hAnsiTheme="minorEastAsia" w:eastAsiaTheme="minorEastAsia" w:cstheme="minorEastAsia"/>
          <w:b w:val="0"/>
          <w:bCs w:val="0"/>
          <w:color w:val="auto"/>
          <w:kern w:val="0"/>
          <w:sz w:val="24"/>
          <w:szCs w:val="24"/>
          <w:lang w:val="en-US" w:eastAsia="zh-CN"/>
        </w:rPr>
        <w:t xml:space="preserve"> </w:t>
      </w:r>
      <w:r>
        <w:rPr>
          <w:rFonts w:hint="eastAsia" w:asciiTheme="minorEastAsia" w:hAnsiTheme="minorEastAsia" w:eastAsiaTheme="minorEastAsia" w:cstheme="minorEastAsia"/>
          <w:b w:val="0"/>
          <w:bCs w:val="0"/>
          <w:color w:val="auto"/>
          <w:kern w:val="0"/>
          <w:sz w:val="24"/>
          <w:szCs w:val="24"/>
        </w:rPr>
        <w:t>建立健全医疗保障基金安全防控机制，监督管理纳入医保支付范围的医疗服务行为和医疗费用，规范医保经办业务，依法查处医疗保障领域违法违规行为。</w:t>
      </w:r>
      <w:r>
        <w:rPr>
          <w:rFonts w:hint="eastAsia" w:asciiTheme="minorEastAsia" w:hAnsiTheme="minorEastAsia" w:eastAsiaTheme="minorEastAsia" w:cstheme="minorEastAsia"/>
          <w:b w:val="0"/>
          <w:bCs w:val="0"/>
          <w:color w:val="auto"/>
          <w:sz w:val="24"/>
          <w:szCs w:val="24"/>
          <w:lang w:val="en-US" w:eastAsia="zh-CN"/>
        </w:rPr>
        <w:t xml:space="preserve">    </w:t>
      </w:r>
    </w:p>
    <w:p w14:paraId="42687991">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二、风险等级</w:t>
      </w:r>
    </w:p>
    <w:p w14:paraId="2F445CD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根据风险事件的情节轻重、影响范围和程度，分为重大风险、中等风险和一般风险三个等级。重大风险是指在基金监管工作重要方面或执法过程中，严重不合规范，相关单位或群众提出质疑，致使相关工作陷入被动、停止甚至重新开展，严重影响医疗保障局声誉和形象的可能性；中等风险是指在基金监管工作开展过程的某些方面或环节不合规范，被局领导提出整改意见，相关单位或群众提出疑问，给单位的声誉和形象带来不良影响的可能性；一般风险是指在基金监管工作开展过程的某些方面或环节不合规范，被相关单位或群众提出意见建议，对工作正常开展带来一定的不良影响，存在对医疗保障局声誉造成负面影响的可能性。</w:t>
      </w:r>
    </w:p>
    <w:p w14:paraId="6EB10FF1">
      <w:pPr>
        <w:pageBreakBefore w:val="0"/>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具体工作及流程</w:t>
      </w:r>
    </w:p>
    <w:p w14:paraId="7DAD74A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第八条 </w:t>
      </w:r>
      <w:r>
        <w:rPr>
          <w:rFonts w:hint="eastAsia" w:asciiTheme="minorEastAsia" w:hAnsiTheme="minorEastAsia" w:eastAsiaTheme="minorEastAsia" w:cstheme="minorEastAsia"/>
          <w:b w:val="0"/>
          <w:bCs w:val="0"/>
          <w:color w:val="auto"/>
          <w:sz w:val="24"/>
          <w:szCs w:val="24"/>
        </w:rPr>
        <w:t>制定检查计划</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一般每年年初制定本年度的检查计划，专项（飞行）检查的，根据需要临时列入。</w:t>
      </w:r>
    </w:p>
    <w:p w14:paraId="0447D68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第九条 </w:t>
      </w:r>
      <w:r>
        <w:rPr>
          <w:rFonts w:hint="eastAsia" w:asciiTheme="minorEastAsia" w:hAnsiTheme="minorEastAsia" w:eastAsiaTheme="minorEastAsia" w:cstheme="minorEastAsia"/>
          <w:b w:val="0"/>
          <w:bCs w:val="0"/>
          <w:color w:val="auto"/>
          <w:sz w:val="24"/>
          <w:szCs w:val="24"/>
        </w:rPr>
        <w:t>检查通知。一般情况下通知被检查单位配合准备相应检查资料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临时抽检（飞行检查）的，可随机进行，不通知检查单位。</w:t>
      </w:r>
    </w:p>
    <w:p w14:paraId="5D7F099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第十条 </w:t>
      </w:r>
      <w:r>
        <w:rPr>
          <w:rFonts w:hint="eastAsia" w:asciiTheme="minorEastAsia" w:hAnsiTheme="minorEastAsia" w:eastAsiaTheme="minorEastAsia" w:cstheme="minorEastAsia"/>
          <w:b w:val="0"/>
          <w:bCs w:val="0"/>
          <w:color w:val="auto"/>
          <w:sz w:val="24"/>
          <w:szCs w:val="24"/>
        </w:rPr>
        <w:t>检查形式和要点。</w:t>
      </w:r>
    </w:p>
    <w:p w14:paraId="066EB35F">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检查形式。检查形式包括网络监控、书面资料检查、实地检查三种形式。</w:t>
      </w:r>
    </w:p>
    <w:p w14:paraId="0F38624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检查要点。根据每种付费方式的不同特点，确定相应的监管工作重点和工作标准，针对总额预算的定点医疗机构，重点监控其费用在时间、项目、收费类别上的构成情况，防止其医疗服务不足和转嫁个人负担，或人为增加支出；针对定额管理的定点医疗机构，防范其故意增加住院患者或分解住院，谨防其“就轻避重”，推诿重症患者；针对病种结算的定点医疗机构，避免人为诊断升级，收治不该住院的病人或分解住院；针对项目结算的定点医疗机构，严防其过度医疗行为或重复收费、分解收费、滥收费等。</w:t>
      </w:r>
    </w:p>
    <w:p w14:paraId="50E8D412">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第十一条 </w:t>
      </w:r>
      <w:r>
        <w:rPr>
          <w:rFonts w:hint="eastAsia" w:asciiTheme="minorEastAsia" w:hAnsiTheme="minorEastAsia" w:eastAsiaTheme="minorEastAsia" w:cstheme="minorEastAsia"/>
          <w:b w:val="0"/>
          <w:bCs w:val="0"/>
          <w:color w:val="auto"/>
          <w:sz w:val="24"/>
          <w:szCs w:val="24"/>
        </w:rPr>
        <w:t>实施检查。检查要填写检查记录，包括</w:t>
      </w:r>
      <w:r>
        <w:rPr>
          <w:rFonts w:hint="eastAsia" w:asciiTheme="minorEastAsia" w:hAnsiTheme="minorEastAsia" w:eastAsiaTheme="minorEastAsia" w:cstheme="minorEastAsia"/>
          <w:b w:val="0"/>
          <w:bCs w:val="0"/>
          <w:color w:val="auto"/>
          <w:sz w:val="24"/>
          <w:szCs w:val="24"/>
          <w:lang w:eastAsia="zh-CN"/>
        </w:rPr>
        <w:t>：医疗保险经办机构监督检查记录单；</w:t>
      </w:r>
      <w:r>
        <w:rPr>
          <w:rFonts w:hint="eastAsia" w:asciiTheme="minorEastAsia" w:hAnsiTheme="minorEastAsia" w:eastAsiaTheme="minorEastAsia" w:cstheme="minorEastAsia"/>
          <w:b w:val="0"/>
          <w:bCs w:val="0"/>
          <w:color w:val="auto"/>
          <w:sz w:val="24"/>
          <w:szCs w:val="24"/>
        </w:rPr>
        <w:t>医疗保险定点医疗机构监督检查记录单；医疗保险定点零售药店监督检查记录单；医疗保险监督调查询问记录等。</w:t>
      </w:r>
    </w:p>
    <w:p w14:paraId="647D92DF">
      <w:pPr>
        <w:pageBreakBefore w:val="0"/>
        <w:kinsoku/>
        <w:overflowPunct/>
        <w:topLinePunct w:val="0"/>
        <w:bidi w:val="0"/>
        <w:spacing w:line="580" w:lineRule="exact"/>
        <w:ind w:left="0" w:firstLine="540" w:firstLineChars="22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网络监控。划卡费用明细清单、划卡登记疾病科室医生人员信息等。存在异常涉嫌违规的，转入实地检查或书面资料检查；必要时调查参保患者、经治医师等相关人员。</w:t>
      </w:r>
    </w:p>
    <w:p w14:paraId="5DF2ECF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书面资料检查。书面资料检查时，实行二级复核制度。检查内容包括病历资料、处方、检查化验登记资料、医保票据存根、费用清单等。</w:t>
      </w:r>
    </w:p>
    <w:p w14:paraId="4CCF9FF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实地检查。实地检查时，</w:t>
      </w:r>
      <w:r>
        <w:rPr>
          <w:rFonts w:hint="eastAsia" w:asciiTheme="minorEastAsia" w:hAnsiTheme="minorEastAsia" w:eastAsiaTheme="minorEastAsia" w:cstheme="minorEastAsia"/>
          <w:b w:val="0"/>
          <w:bCs w:val="0"/>
          <w:color w:val="auto"/>
          <w:sz w:val="24"/>
          <w:szCs w:val="24"/>
          <w:lang w:val="en-US" w:eastAsia="zh-CN"/>
        </w:rPr>
        <w:t>必须</w:t>
      </w:r>
      <w:r>
        <w:rPr>
          <w:rFonts w:hint="eastAsia" w:asciiTheme="minorEastAsia" w:hAnsiTheme="minorEastAsia" w:eastAsiaTheme="minorEastAsia" w:cstheme="minorEastAsia"/>
          <w:b w:val="0"/>
          <w:bCs w:val="0"/>
          <w:color w:val="auto"/>
          <w:sz w:val="24"/>
          <w:szCs w:val="24"/>
        </w:rPr>
        <w:t>两人以上共同参加。检查内容包括</w:t>
      </w:r>
      <w:r>
        <w:rPr>
          <w:rFonts w:hint="eastAsia" w:asciiTheme="minorEastAsia" w:hAnsiTheme="minorEastAsia" w:eastAsiaTheme="minorEastAsia" w:cstheme="minorEastAsia"/>
          <w:b w:val="0"/>
          <w:bCs w:val="0"/>
          <w:color w:val="auto"/>
          <w:sz w:val="24"/>
          <w:szCs w:val="24"/>
          <w:lang w:eastAsia="zh-CN"/>
        </w:rPr>
        <w:t>进、销、存数据、</w:t>
      </w:r>
      <w:r>
        <w:rPr>
          <w:rFonts w:hint="eastAsia" w:asciiTheme="minorEastAsia" w:hAnsiTheme="minorEastAsia" w:eastAsiaTheme="minorEastAsia" w:cstheme="minorEastAsia"/>
          <w:b w:val="0"/>
          <w:bCs w:val="0"/>
          <w:color w:val="auto"/>
          <w:sz w:val="24"/>
          <w:szCs w:val="24"/>
        </w:rPr>
        <w:t>病历资料、处方、检查化验登记资料、医保票据存根、费用清单等。</w:t>
      </w:r>
    </w:p>
    <w:p w14:paraId="142E83D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第十二条 </w:t>
      </w:r>
      <w:r>
        <w:rPr>
          <w:rFonts w:hint="eastAsia" w:asciiTheme="minorEastAsia" w:hAnsiTheme="minorEastAsia" w:eastAsiaTheme="minorEastAsia" w:cstheme="minorEastAsia"/>
          <w:b w:val="0"/>
          <w:bCs w:val="0"/>
          <w:color w:val="auto"/>
          <w:sz w:val="24"/>
          <w:szCs w:val="24"/>
        </w:rPr>
        <w:t>检查单位确认。检查结果要进行核对，重大情况的，需要被检查单位确认</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检查单位对检查结果有异议的，</w:t>
      </w:r>
      <w:r>
        <w:rPr>
          <w:rFonts w:hint="eastAsia" w:asciiTheme="minorEastAsia" w:hAnsiTheme="minorEastAsia" w:eastAsiaTheme="minorEastAsia" w:cstheme="minorEastAsia"/>
          <w:b w:val="0"/>
          <w:bCs w:val="0"/>
          <w:color w:val="auto"/>
          <w:sz w:val="24"/>
          <w:szCs w:val="24"/>
          <w:lang w:val="en-US" w:eastAsia="zh-CN"/>
        </w:rPr>
        <w:t>可</w:t>
      </w:r>
      <w:r>
        <w:rPr>
          <w:rFonts w:hint="eastAsia" w:asciiTheme="minorEastAsia" w:hAnsiTheme="minorEastAsia" w:eastAsiaTheme="minorEastAsia" w:cstheme="minorEastAsia"/>
          <w:b w:val="0"/>
          <w:bCs w:val="0"/>
          <w:color w:val="auto"/>
          <w:sz w:val="24"/>
          <w:szCs w:val="24"/>
        </w:rPr>
        <w:t>进行复</w:t>
      </w:r>
      <w:r>
        <w:rPr>
          <w:rFonts w:hint="eastAsia" w:asciiTheme="minorEastAsia" w:hAnsiTheme="minorEastAsia" w:eastAsiaTheme="minorEastAsia" w:cstheme="minorEastAsia"/>
          <w:b w:val="0"/>
          <w:bCs w:val="0"/>
          <w:color w:val="auto"/>
          <w:sz w:val="24"/>
          <w:szCs w:val="24"/>
          <w:lang w:val="en-US" w:eastAsia="zh-CN"/>
        </w:rPr>
        <w:t>议</w:t>
      </w:r>
      <w:r>
        <w:rPr>
          <w:rFonts w:hint="eastAsia" w:asciiTheme="minorEastAsia" w:hAnsiTheme="minorEastAsia" w:eastAsiaTheme="minorEastAsia" w:cstheme="minorEastAsia"/>
          <w:b w:val="0"/>
          <w:bCs w:val="0"/>
          <w:color w:val="auto"/>
          <w:sz w:val="24"/>
          <w:szCs w:val="24"/>
        </w:rPr>
        <w:t>。</w:t>
      </w:r>
    </w:p>
    <w:p w14:paraId="587D7F74">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第十三条 </w:t>
      </w:r>
      <w:r>
        <w:rPr>
          <w:rFonts w:hint="eastAsia" w:asciiTheme="minorEastAsia" w:hAnsiTheme="minorEastAsia" w:eastAsiaTheme="minorEastAsia" w:cstheme="minorEastAsia"/>
          <w:b w:val="0"/>
          <w:bCs w:val="0"/>
          <w:color w:val="auto"/>
          <w:sz w:val="24"/>
          <w:szCs w:val="24"/>
        </w:rPr>
        <w:t>检查结果和初步处理意见及时报</w:t>
      </w:r>
      <w:r>
        <w:rPr>
          <w:rFonts w:hint="eastAsia" w:asciiTheme="minorEastAsia" w:hAnsiTheme="minorEastAsia" w:eastAsiaTheme="minorEastAsia" w:cstheme="minorEastAsia"/>
          <w:b w:val="0"/>
          <w:bCs w:val="0"/>
          <w:color w:val="auto"/>
          <w:sz w:val="24"/>
          <w:szCs w:val="24"/>
          <w:lang w:val="en-US" w:eastAsia="zh-CN"/>
        </w:rPr>
        <w:t>局</w:t>
      </w:r>
      <w:r>
        <w:rPr>
          <w:rFonts w:hint="eastAsia" w:asciiTheme="minorEastAsia" w:hAnsiTheme="minorEastAsia" w:eastAsiaTheme="minorEastAsia" w:cstheme="minorEastAsia"/>
          <w:b w:val="0"/>
          <w:bCs w:val="0"/>
          <w:color w:val="auto"/>
          <w:sz w:val="24"/>
          <w:szCs w:val="24"/>
        </w:rPr>
        <w:t>领导核准。重大违规处理</w:t>
      </w:r>
      <w:r>
        <w:rPr>
          <w:rFonts w:hint="eastAsia" w:asciiTheme="minorEastAsia" w:hAnsiTheme="minorEastAsia" w:eastAsiaTheme="minorEastAsia" w:cstheme="minorEastAsia"/>
          <w:b w:val="0"/>
          <w:bCs w:val="0"/>
          <w:color w:val="auto"/>
          <w:sz w:val="24"/>
          <w:szCs w:val="24"/>
          <w:lang w:val="en-US" w:eastAsia="zh-CN"/>
        </w:rPr>
        <w:t>必须</w:t>
      </w:r>
      <w:r>
        <w:rPr>
          <w:rFonts w:hint="eastAsia" w:asciiTheme="minorEastAsia" w:hAnsiTheme="minorEastAsia" w:eastAsiaTheme="minorEastAsia" w:cstheme="minorEastAsia"/>
          <w:b w:val="0"/>
          <w:bCs w:val="0"/>
          <w:color w:val="auto"/>
          <w:sz w:val="24"/>
          <w:szCs w:val="24"/>
        </w:rPr>
        <w:t>经领导核准。</w:t>
      </w:r>
    </w:p>
    <w:p w14:paraId="13A3DD7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第十四条 </w:t>
      </w:r>
      <w:r>
        <w:rPr>
          <w:rFonts w:hint="eastAsia" w:asciiTheme="minorEastAsia" w:hAnsiTheme="minorEastAsia" w:eastAsiaTheme="minorEastAsia" w:cstheme="minorEastAsia"/>
          <w:b w:val="0"/>
          <w:bCs w:val="0"/>
          <w:color w:val="auto"/>
          <w:sz w:val="24"/>
          <w:szCs w:val="24"/>
        </w:rPr>
        <w:t>告知受处理单位，发放违规处理通知书。</w:t>
      </w:r>
    </w:p>
    <w:p w14:paraId="480DF67D">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通报局内相关部门落实处理措施，包括拒付（追加拒付）医疗费用，停止网络服务，暂停医保结算，不予报销个人医保费用，暂停医保待遇</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解除《协议》</w:t>
      </w:r>
      <w:r>
        <w:rPr>
          <w:rFonts w:hint="eastAsia" w:asciiTheme="minorEastAsia" w:hAnsiTheme="minorEastAsia" w:eastAsiaTheme="minorEastAsia" w:cstheme="minorEastAsia"/>
          <w:b w:val="0"/>
          <w:bCs w:val="0"/>
          <w:color w:val="auto"/>
          <w:sz w:val="24"/>
          <w:szCs w:val="24"/>
        </w:rPr>
        <w:t>等。</w:t>
      </w:r>
    </w:p>
    <w:p w14:paraId="5C893AC1">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监管情况记录、调查资料、处理资料等及时归档。</w:t>
      </w:r>
    </w:p>
    <w:p w14:paraId="735F6B29">
      <w:pPr>
        <w:pageBreakBefore w:val="0"/>
        <w:widowControl w:val="0"/>
        <w:numPr>
          <w:ilvl w:val="0"/>
          <w:numId w:val="0"/>
        </w:numPr>
        <w:kinsoku/>
        <w:overflowPunct/>
        <w:topLinePunct w:val="0"/>
        <w:bidi w:val="0"/>
        <w:spacing w:line="580" w:lineRule="exact"/>
        <w:ind w:left="0" w:firstLine="482" w:firstLineChars="2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四、廉政风险点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574"/>
        <w:gridCol w:w="1675"/>
        <w:gridCol w:w="1698"/>
      </w:tblGrid>
      <w:tr w14:paraId="29A2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14:paraId="0D0A9732">
            <w:pPr>
              <w:pageBreakBefore w:val="0"/>
              <w:numPr>
                <w:ilvl w:val="0"/>
                <w:numId w:val="0"/>
              </w:numPr>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风险点</w:t>
            </w:r>
          </w:p>
        </w:tc>
        <w:tc>
          <w:tcPr>
            <w:tcW w:w="3575" w:type="dxa"/>
            <w:vAlign w:val="center"/>
          </w:tcPr>
          <w:p w14:paraId="15B039DF">
            <w:pPr>
              <w:pageBreakBefore w:val="0"/>
              <w:numPr>
                <w:ilvl w:val="0"/>
                <w:numId w:val="0"/>
              </w:numPr>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现实表现形式</w:t>
            </w:r>
          </w:p>
        </w:tc>
        <w:tc>
          <w:tcPr>
            <w:tcW w:w="1675" w:type="dxa"/>
            <w:vAlign w:val="center"/>
          </w:tcPr>
          <w:p w14:paraId="7C3B2CFE">
            <w:pPr>
              <w:pageBreakBefore w:val="0"/>
              <w:numPr>
                <w:ilvl w:val="0"/>
                <w:numId w:val="0"/>
              </w:numPr>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风险等级</w:t>
            </w:r>
          </w:p>
        </w:tc>
        <w:tc>
          <w:tcPr>
            <w:tcW w:w="1698" w:type="dxa"/>
            <w:vAlign w:val="center"/>
          </w:tcPr>
          <w:p w14:paraId="4EE8866B">
            <w:pPr>
              <w:pageBreakBefore w:val="0"/>
              <w:numPr>
                <w:ilvl w:val="0"/>
                <w:numId w:val="0"/>
              </w:numPr>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责任主体</w:t>
            </w:r>
          </w:p>
        </w:tc>
      </w:tr>
      <w:tr w14:paraId="24B0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574" w:type="dxa"/>
            <w:vMerge w:val="restart"/>
            <w:vAlign w:val="center"/>
          </w:tcPr>
          <w:p w14:paraId="01119F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开展医保基金监管工作过程中，存在违法、违规和违纪行为。</w:t>
            </w:r>
          </w:p>
        </w:tc>
        <w:tc>
          <w:tcPr>
            <w:tcW w:w="3575" w:type="dxa"/>
          </w:tcPr>
          <w:p w14:paraId="1C6E9B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违反法律法规，“内外勾结”欺诈骗取医保基金，造成重大“骗保”事件。</w:t>
            </w:r>
          </w:p>
        </w:tc>
        <w:tc>
          <w:tcPr>
            <w:tcW w:w="1675" w:type="dxa"/>
            <w:vAlign w:val="center"/>
          </w:tcPr>
          <w:p w14:paraId="3AE1FE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重大风险</w:t>
            </w:r>
          </w:p>
        </w:tc>
        <w:tc>
          <w:tcPr>
            <w:tcW w:w="1698" w:type="dxa"/>
            <w:vMerge w:val="restart"/>
            <w:vAlign w:val="center"/>
          </w:tcPr>
          <w:p w14:paraId="4D8F5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监管工作人员，科（室）负责人及相关领导</w:t>
            </w:r>
          </w:p>
        </w:tc>
      </w:tr>
      <w:tr w14:paraId="26E6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574" w:type="dxa"/>
            <w:vMerge w:val="continue"/>
          </w:tcPr>
          <w:p w14:paraId="0829B8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rPr>
            </w:pPr>
          </w:p>
        </w:tc>
        <w:tc>
          <w:tcPr>
            <w:tcW w:w="3575" w:type="dxa"/>
          </w:tcPr>
          <w:p w14:paraId="292890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违反廉洁纪律，在基金监管实施过程中拉关系、收取好处费，造成基金流失。</w:t>
            </w:r>
          </w:p>
        </w:tc>
        <w:tc>
          <w:tcPr>
            <w:tcW w:w="1675" w:type="dxa"/>
            <w:vAlign w:val="center"/>
          </w:tcPr>
          <w:p w14:paraId="38AF05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中等风险</w:t>
            </w:r>
          </w:p>
        </w:tc>
        <w:tc>
          <w:tcPr>
            <w:tcW w:w="1698" w:type="dxa"/>
            <w:vMerge w:val="continue"/>
            <w:vAlign w:val="center"/>
          </w:tcPr>
          <w:p w14:paraId="54AA42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rPr>
            </w:pPr>
          </w:p>
        </w:tc>
      </w:tr>
      <w:tr w14:paraId="249A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1574" w:type="dxa"/>
            <w:vMerge w:val="continue"/>
          </w:tcPr>
          <w:p w14:paraId="38689F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rPr>
            </w:pPr>
          </w:p>
        </w:tc>
        <w:tc>
          <w:tcPr>
            <w:tcW w:w="3575" w:type="dxa"/>
          </w:tcPr>
          <w:p w14:paraId="011D99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履职尽责不到位，出工不出力，影响医保基金监管效果。</w:t>
            </w:r>
          </w:p>
        </w:tc>
        <w:tc>
          <w:tcPr>
            <w:tcW w:w="1675" w:type="dxa"/>
            <w:vAlign w:val="center"/>
          </w:tcPr>
          <w:p w14:paraId="3865E8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一般风险</w:t>
            </w:r>
          </w:p>
        </w:tc>
        <w:tc>
          <w:tcPr>
            <w:tcW w:w="1698" w:type="dxa"/>
            <w:vMerge w:val="continue"/>
            <w:vAlign w:val="center"/>
          </w:tcPr>
          <w:p w14:paraId="155674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jc w:val="both"/>
              <w:textAlignment w:val="auto"/>
              <w:rPr>
                <w:rFonts w:hint="eastAsia" w:asciiTheme="minorEastAsia" w:hAnsiTheme="minorEastAsia" w:eastAsiaTheme="minorEastAsia" w:cstheme="minorEastAsia"/>
                <w:b w:val="0"/>
                <w:bCs w:val="0"/>
                <w:color w:val="auto"/>
                <w:sz w:val="24"/>
                <w:szCs w:val="24"/>
                <w:vertAlign w:val="baseline"/>
              </w:rPr>
            </w:pPr>
          </w:p>
        </w:tc>
      </w:tr>
    </w:tbl>
    <w:p w14:paraId="12405BAB">
      <w:pPr>
        <w:pageBreakBefore w:val="0"/>
        <w:numPr>
          <w:ilvl w:val="0"/>
          <w:numId w:val="0"/>
        </w:numPr>
        <w:kinsoku/>
        <w:overflowPunct/>
        <w:topLinePunct w:val="0"/>
        <w:bidi w:val="0"/>
        <w:spacing w:line="580" w:lineRule="exact"/>
        <w:ind w:leftChars="0" w:firstLine="482" w:firstLineChars="2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五、防控措施</w:t>
      </w:r>
    </w:p>
    <w:p w14:paraId="49CB5FCE">
      <w:pPr>
        <w:pageBreakBefore w:val="0"/>
        <w:numPr>
          <w:ilvl w:val="0"/>
          <w:numId w:val="0"/>
        </w:numPr>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（一）事前防范</w:t>
      </w:r>
    </w:p>
    <w:p w14:paraId="749FE09E">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第十六条 学习相关的法律、法规及业务知识，熟悉相关业务，落实工作责任，加强督导检查。</w:t>
      </w:r>
    </w:p>
    <w:p w14:paraId="38C30FA3">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第十七条 坚持公开、公平、公正的监管原则，严格按流程和规范操作，杜绝人情关系。</w:t>
      </w:r>
    </w:p>
    <w:p w14:paraId="385EEF62">
      <w:pPr>
        <w:pageBreakBefore w:val="0"/>
        <w:numPr>
          <w:ilvl w:val="0"/>
          <w:numId w:val="0"/>
        </w:numPr>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（二）事中控制</w:t>
      </w:r>
    </w:p>
    <w:p w14:paraId="246B7F95">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第十八条 坚持依法依规进行基金监管，实地检查必须2人以上进行。</w:t>
      </w:r>
    </w:p>
    <w:p w14:paraId="010B8245">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第十九条严格实行监管工作人员、科（室）负责人、分管领导、主要领导逐层签批制度。</w:t>
      </w:r>
    </w:p>
    <w:p w14:paraId="07FB623B">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第二十条严格按照各自权限完成基金监管工作，区分责任，健全责任倒查机制。</w:t>
      </w:r>
    </w:p>
    <w:p w14:paraId="13359A08">
      <w:pPr>
        <w:pageBreakBefore w:val="0"/>
        <w:numPr>
          <w:ilvl w:val="0"/>
          <w:numId w:val="0"/>
        </w:numPr>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（三）事后监管</w:t>
      </w:r>
    </w:p>
    <w:p w14:paraId="0550E8B1">
      <w:pPr>
        <w:pageBreakBefore w:val="0"/>
        <w:numPr>
          <w:ilvl w:val="0"/>
          <w:numId w:val="0"/>
        </w:numPr>
        <w:kinsoku/>
        <w:overflowPunct/>
        <w:topLinePunct w:val="0"/>
        <w:bidi w:val="0"/>
        <w:spacing w:line="580" w:lineRule="exact"/>
        <w:ind w:left="0" w:firstLine="64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第二十一条 建立监管台账、社会信用记录台账。</w:t>
      </w:r>
    </w:p>
    <w:p w14:paraId="1910D353">
      <w:pPr>
        <w:pageBreakBefore w:val="0"/>
        <w:numPr>
          <w:ilvl w:val="0"/>
          <w:numId w:val="0"/>
        </w:numPr>
        <w:kinsoku/>
        <w:overflowPunct/>
        <w:topLinePunct w:val="0"/>
        <w:bidi w:val="0"/>
        <w:spacing w:line="580" w:lineRule="exact"/>
        <w:ind w:left="0" w:firstLine="64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第二十二条 做好</w:t>
      </w:r>
      <w:r>
        <w:rPr>
          <w:rFonts w:hint="eastAsia" w:asciiTheme="minorEastAsia" w:hAnsiTheme="minorEastAsia" w:eastAsiaTheme="minorEastAsia" w:cstheme="minorEastAsia"/>
          <w:b w:val="0"/>
          <w:bCs w:val="0"/>
          <w:color w:val="auto"/>
          <w:sz w:val="24"/>
          <w:szCs w:val="24"/>
        </w:rPr>
        <w:t>监管情况记录、调查资料、处理资料</w:t>
      </w:r>
      <w:r>
        <w:rPr>
          <w:rFonts w:hint="eastAsia" w:asciiTheme="minorEastAsia" w:hAnsiTheme="minorEastAsia" w:eastAsiaTheme="minorEastAsia" w:cstheme="minorEastAsia"/>
          <w:b w:val="0"/>
          <w:bCs w:val="0"/>
          <w:color w:val="auto"/>
          <w:sz w:val="24"/>
          <w:szCs w:val="24"/>
          <w:lang w:val="en-US" w:eastAsia="zh-CN"/>
        </w:rPr>
        <w:t>存档备案工作。</w:t>
      </w:r>
    </w:p>
    <w:p w14:paraId="58B2B332">
      <w:pPr>
        <w:pageBreakBefore w:val="0"/>
        <w:numPr>
          <w:ilvl w:val="0"/>
          <w:numId w:val="0"/>
        </w:numPr>
        <w:kinsoku/>
        <w:overflowPunct/>
        <w:topLinePunct w:val="0"/>
        <w:bidi w:val="0"/>
        <w:spacing w:line="580" w:lineRule="exact"/>
        <w:ind w:leftChars="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六、监督检查</w:t>
      </w:r>
    </w:p>
    <w:p w14:paraId="53AB9C62">
      <w:pPr>
        <w:pageBreakBefore w:val="0"/>
        <w:numPr>
          <w:ilvl w:val="0"/>
          <w:numId w:val="0"/>
        </w:numPr>
        <w:kinsoku/>
        <w:overflowPunct/>
        <w:topLinePunct w:val="0"/>
        <w:bidi w:val="0"/>
        <w:spacing w:line="580" w:lineRule="exact"/>
        <w:ind w:left="0" w:leftChars="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第二十三条 实地检查的基金监管工作（专家组）成员</w:t>
      </w:r>
    </w:p>
    <w:p w14:paraId="64457797">
      <w:pPr>
        <w:pageBreakBefore w:val="0"/>
        <w:numPr>
          <w:ilvl w:val="0"/>
          <w:numId w:val="0"/>
        </w:numPr>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负责对</w:t>
      </w:r>
      <w:r>
        <w:rPr>
          <w:rFonts w:hint="eastAsia" w:asciiTheme="minorEastAsia" w:hAnsiTheme="minorEastAsia" w:eastAsiaTheme="minorEastAsia" w:cstheme="minorEastAsia"/>
          <w:b w:val="0"/>
          <w:bCs w:val="0"/>
          <w:color w:val="auto"/>
          <w:sz w:val="24"/>
          <w:szCs w:val="24"/>
        </w:rPr>
        <w:t>病历资料、处方、检查化验登记资料、医保票据存根、费用清单</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进销存数据单据</w:t>
      </w:r>
      <w:r>
        <w:rPr>
          <w:rFonts w:hint="eastAsia" w:asciiTheme="minorEastAsia" w:hAnsiTheme="minorEastAsia" w:eastAsiaTheme="minorEastAsia" w:cstheme="minorEastAsia"/>
          <w:b w:val="0"/>
          <w:bCs w:val="0"/>
          <w:color w:val="auto"/>
          <w:sz w:val="24"/>
          <w:szCs w:val="24"/>
        </w:rPr>
        <w:t>等</w:t>
      </w:r>
      <w:r>
        <w:rPr>
          <w:rFonts w:hint="eastAsia" w:asciiTheme="minorEastAsia" w:hAnsiTheme="minorEastAsia" w:eastAsiaTheme="minorEastAsia" w:cstheme="minorEastAsia"/>
          <w:b w:val="0"/>
          <w:bCs w:val="0"/>
          <w:color w:val="auto"/>
          <w:sz w:val="24"/>
          <w:szCs w:val="24"/>
          <w:lang w:val="en-US" w:eastAsia="zh-CN"/>
        </w:rPr>
        <w:t>检查、核实。</w:t>
      </w:r>
    </w:p>
    <w:p w14:paraId="1B6EC8E6">
      <w:pPr>
        <w:pageBreakBefore w:val="0"/>
        <w:numPr>
          <w:ilvl w:val="0"/>
          <w:numId w:val="0"/>
        </w:numPr>
        <w:kinsoku/>
        <w:overflowPunct/>
        <w:topLinePunct w:val="0"/>
        <w:bidi w:val="0"/>
        <w:spacing w:line="580" w:lineRule="exact"/>
        <w:ind w:left="0" w:firstLine="64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第二十四条 负责日常（专项、飞行）检查的责任科（室）负责人或小组负责人进行汇总把关，请示、汇报和监督指导。   </w:t>
      </w:r>
    </w:p>
    <w:p w14:paraId="407682EF">
      <w:pPr>
        <w:pageBreakBefore w:val="0"/>
        <w:numPr>
          <w:ilvl w:val="0"/>
          <w:numId w:val="0"/>
        </w:numPr>
        <w:kinsoku/>
        <w:overflowPunct/>
        <w:topLinePunct w:val="0"/>
        <w:bidi w:val="0"/>
        <w:spacing w:line="580" w:lineRule="exact"/>
        <w:ind w:left="0" w:firstLine="64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第二十五条 局分（主）管领导对工作流程和规范进行监督指导，对检查处理意见进行审批，重大违纪违法事件，需召开班子会审定。</w:t>
      </w:r>
    </w:p>
    <w:p w14:paraId="214990A9">
      <w:pPr>
        <w:pageBreakBefore w:val="0"/>
        <w:numPr>
          <w:ilvl w:val="0"/>
          <w:numId w:val="0"/>
        </w:numPr>
        <w:kinsoku/>
        <w:overflowPunct/>
        <w:topLinePunct w:val="0"/>
        <w:bidi w:val="0"/>
        <w:spacing w:line="580" w:lineRule="exact"/>
        <w:ind w:left="0" w:firstLine="64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第二十六条 在医保基金监管过程中任意环节，驻局纪检组有权随时介入监督，接受群众举报线索。对涉嫌违规行为及时制止。如发现严重违规嫌疑，在经过初步调查确定后，进行风险等级评定，上报局党组研究处理。对确属违规行为，情节较轻的，在局内通报批评，取消责任人员当年评先选优资格，事业单位编制人员当年不得晋升职称；对涉嫌程序和规范违法人员，根据</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zh-TW" w:eastAsia="zh-TW"/>
        </w:rPr>
        <w:t>中华人民共和国保险法》</w:t>
      </w:r>
      <w:r>
        <w:rPr>
          <w:rFonts w:hint="eastAsia" w:asciiTheme="minorEastAsia" w:hAnsiTheme="minorEastAsia" w:eastAsiaTheme="minorEastAsia" w:cstheme="minorEastAsia"/>
          <w:b w:val="0"/>
          <w:bCs w:val="0"/>
          <w:color w:val="auto"/>
          <w:sz w:val="24"/>
          <w:szCs w:val="24"/>
          <w:lang w:val="en-US" w:eastAsia="zh-CN"/>
        </w:rPr>
        <w:t>等相关规定，依法依规追究法律责任；对违法违纪情节严重并经过核实的，及时上报纪检监察组，同时将线索移交司法部门依法处理。</w:t>
      </w:r>
    </w:p>
    <w:p w14:paraId="2FFFF5E0">
      <w:pPr>
        <w:pageBreakBefore w:val="0"/>
        <w:numPr>
          <w:ilvl w:val="0"/>
          <w:numId w:val="0"/>
        </w:numPr>
        <w:kinsoku/>
        <w:overflowPunct/>
        <w:topLinePunct w:val="0"/>
        <w:bidi w:val="0"/>
        <w:spacing w:line="580" w:lineRule="exact"/>
        <w:ind w:left="0" w:firstLine="64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第二十七条</w:t>
      </w:r>
      <w:r>
        <w:rPr>
          <w:rFonts w:hint="eastAsia" w:asciiTheme="minorEastAsia" w:hAnsiTheme="minorEastAsia" w:eastAsiaTheme="minorEastAsia" w:cstheme="minorEastAsia"/>
          <w:b w:val="0"/>
          <w:bCs w:val="0"/>
          <w:color w:val="auto"/>
          <w:sz w:val="24"/>
          <w:szCs w:val="24"/>
          <w:lang w:val="en-US" w:eastAsia="zh-CN"/>
        </w:rPr>
        <w:t xml:space="preserve"> 本制度自发布之日起实施。</w:t>
      </w:r>
    </w:p>
    <w:p w14:paraId="6A4FA2FE">
      <w:pPr>
        <w:jc w:val="both"/>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en-US" w:eastAsia="zh-CN"/>
        </w:rPr>
        <w:br w:type="page"/>
      </w:r>
    </w:p>
    <w:p w14:paraId="1CD010B0">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洮北经办中心</w:t>
      </w:r>
      <w:r>
        <w:rPr>
          <w:rFonts w:hint="eastAsia" w:asciiTheme="minorEastAsia" w:hAnsiTheme="minorEastAsia" w:eastAsiaTheme="minorEastAsia" w:cstheme="minorEastAsia"/>
          <w:b/>
          <w:bCs/>
          <w:lang w:eastAsia="zh-CN"/>
        </w:rPr>
        <w:t>业务经办管理制度</w:t>
      </w:r>
    </w:p>
    <w:p w14:paraId="02309936">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第一章</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lang w:eastAsia="zh-CN"/>
        </w:rPr>
        <w:t>总则</w:t>
      </w:r>
    </w:p>
    <w:p w14:paraId="4143AD9A">
      <w:pPr>
        <w:pageBreakBefore w:val="0"/>
        <w:numPr>
          <w:ilvl w:val="0"/>
          <w:numId w:val="0"/>
        </w:numPr>
        <w:kinsoku/>
        <w:overflowPunct/>
        <w:topLinePunct w:val="0"/>
        <w:autoSpaceDE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第一条：为了进一步加强和规范我市医疗保险基金监管，</w:t>
      </w:r>
      <w:r>
        <w:rPr>
          <w:rFonts w:hint="eastAsia" w:asciiTheme="minorEastAsia" w:hAnsiTheme="minorEastAsia" w:eastAsiaTheme="minorEastAsia" w:cstheme="minorEastAsia"/>
          <w:b w:val="0"/>
          <w:bCs w:val="0"/>
          <w:color w:val="auto"/>
          <w:sz w:val="24"/>
          <w:szCs w:val="24"/>
        </w:rPr>
        <w:t>贯彻执行国家和本市有关医疗保险的法律、法规、规章和方针、政策</w:t>
      </w:r>
      <w:r>
        <w:rPr>
          <w:rFonts w:hint="eastAsia" w:asciiTheme="minorEastAsia" w:hAnsiTheme="minorEastAsia" w:eastAsiaTheme="minorEastAsia" w:cstheme="minorEastAsia"/>
          <w:b w:val="0"/>
          <w:bCs w:val="0"/>
          <w:color w:val="auto"/>
          <w:sz w:val="24"/>
          <w:szCs w:val="24"/>
          <w:lang w:val="en-US" w:eastAsia="zh-CN"/>
        </w:rPr>
        <w:t>管理水平，切实保障参保对象医保待遇，依据《社会保险法》，结合白城市医疗保障局基金监管工作实际，制定本制度。</w:t>
      </w:r>
    </w:p>
    <w:p w14:paraId="2A910A20">
      <w:pPr>
        <w:pageBreakBefore w:val="0"/>
        <w:numPr>
          <w:ilvl w:val="0"/>
          <w:numId w:val="0"/>
        </w:numPr>
        <w:kinsoku/>
        <w:overflowPunct/>
        <w:topLinePunct w:val="0"/>
        <w:autoSpaceDE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第二条：本制度提出的基金监管包括</w:t>
      </w:r>
      <w:r>
        <w:rPr>
          <w:rFonts w:hint="eastAsia" w:asciiTheme="minorEastAsia" w:hAnsiTheme="minorEastAsia" w:eastAsiaTheme="minorEastAsia" w:cstheme="minorEastAsia"/>
          <w:b w:val="0"/>
          <w:bCs w:val="0"/>
          <w:color w:val="auto"/>
          <w:sz w:val="24"/>
          <w:szCs w:val="24"/>
        </w:rPr>
        <w:t>本市各类医疗保险定点医疗机构、定点零售药店遵守本市基本医疗保险规定情况</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本市参保人员就医次数及发生的基本医疗保险费用</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本市有关医保监督档案的收集、整理和保存工作</w:t>
      </w:r>
      <w:r>
        <w:rPr>
          <w:rFonts w:hint="eastAsia" w:asciiTheme="minorEastAsia" w:hAnsiTheme="minorEastAsia" w:eastAsiaTheme="minorEastAsia" w:cstheme="minorEastAsia"/>
          <w:b w:val="0"/>
          <w:bCs w:val="0"/>
          <w:color w:val="auto"/>
          <w:sz w:val="24"/>
          <w:szCs w:val="24"/>
          <w:lang w:val="en-US" w:eastAsia="zh-CN"/>
        </w:rPr>
        <w:t>等全部经办内容。</w:t>
      </w:r>
    </w:p>
    <w:p w14:paraId="416990F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197A57DC">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第二章 定点医疗机构和定点零售药店的监管</w:t>
      </w:r>
    </w:p>
    <w:p w14:paraId="628856B9">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kern w:val="44"/>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第三条：</w:t>
      </w:r>
      <w:r>
        <w:rPr>
          <w:rFonts w:hint="eastAsia" w:asciiTheme="minorEastAsia" w:hAnsiTheme="minorEastAsia" w:eastAsiaTheme="minorEastAsia" w:cstheme="minorEastAsia"/>
          <w:b w:val="0"/>
          <w:bCs w:val="0"/>
          <w:color w:val="auto"/>
          <w:kern w:val="44"/>
          <w:sz w:val="24"/>
          <w:szCs w:val="24"/>
          <w:lang w:val="en-US" w:eastAsia="zh-CN" w:bidi="ar-SA"/>
        </w:rPr>
        <w:t>监管手段。</w:t>
      </w:r>
    </w:p>
    <w:p w14:paraId="0A1DAFC4">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1、网络监控：以</w:t>
      </w:r>
      <w:r>
        <w:rPr>
          <w:rFonts w:hint="eastAsia" w:asciiTheme="minorEastAsia" w:hAnsiTheme="minorEastAsia" w:eastAsiaTheme="minorEastAsia" w:cstheme="minorEastAsia"/>
          <w:b w:val="0"/>
          <w:bCs w:val="0"/>
          <w:color w:val="auto"/>
          <w:sz w:val="24"/>
          <w:szCs w:val="24"/>
          <w:lang w:eastAsia="zh-CN"/>
        </w:rPr>
        <w:t>城乡居民</w:t>
      </w:r>
      <w:r>
        <w:rPr>
          <w:rFonts w:hint="eastAsia" w:asciiTheme="minorEastAsia" w:hAnsiTheme="minorEastAsia" w:eastAsiaTheme="minorEastAsia" w:cstheme="minorEastAsia"/>
          <w:b w:val="0"/>
          <w:bCs w:val="0"/>
          <w:color w:val="auto"/>
          <w:sz w:val="24"/>
          <w:szCs w:val="24"/>
        </w:rPr>
        <w:t>医疗保险</w:t>
      </w:r>
      <w:r>
        <w:rPr>
          <w:rFonts w:hint="eastAsia" w:asciiTheme="minorEastAsia" w:hAnsiTheme="minorEastAsia" w:eastAsiaTheme="minorEastAsia" w:cstheme="minorEastAsia"/>
          <w:b w:val="0"/>
          <w:bCs w:val="0"/>
          <w:color w:val="auto"/>
          <w:sz w:val="24"/>
          <w:szCs w:val="24"/>
          <w:lang w:eastAsia="zh-CN"/>
        </w:rPr>
        <w:t>报销网络</w:t>
      </w:r>
      <w:r>
        <w:rPr>
          <w:rFonts w:hint="eastAsia" w:asciiTheme="minorEastAsia" w:hAnsiTheme="minorEastAsia" w:eastAsiaTheme="minorEastAsia" w:cstheme="minorEastAsia"/>
          <w:b w:val="0"/>
          <w:bCs w:val="0"/>
          <w:color w:val="auto"/>
          <w:sz w:val="24"/>
          <w:szCs w:val="24"/>
        </w:rPr>
        <w:t>系统为依托，对两定单位违规情况进行筛查，对两定单位形成威慑，减少违规情况发生；</w:t>
      </w:r>
    </w:p>
    <w:p w14:paraId="3776A54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2、影像监控：通过建立视频影像监控系统，</w:t>
      </w:r>
      <w:r>
        <w:rPr>
          <w:rFonts w:hint="eastAsia" w:asciiTheme="minorEastAsia" w:hAnsiTheme="minorEastAsia" w:eastAsiaTheme="minorEastAsia" w:cstheme="minorEastAsia"/>
          <w:b w:val="0"/>
          <w:bCs w:val="0"/>
          <w:color w:val="auto"/>
          <w:sz w:val="24"/>
          <w:szCs w:val="24"/>
          <w:lang w:eastAsia="zh-CN"/>
        </w:rPr>
        <w:t>查看各民营定点医疗机构日常配药、患者身份认证、在院情况、诊疗过程等、查勘</w:t>
      </w:r>
      <w:r>
        <w:rPr>
          <w:rFonts w:hint="eastAsia" w:asciiTheme="minorEastAsia" w:hAnsiTheme="minorEastAsia" w:eastAsiaTheme="minorEastAsia" w:cstheme="minorEastAsia"/>
          <w:b w:val="0"/>
          <w:bCs w:val="0"/>
          <w:color w:val="auto"/>
          <w:sz w:val="24"/>
          <w:szCs w:val="24"/>
        </w:rPr>
        <w:t>定点零售药店</w:t>
      </w:r>
      <w:r>
        <w:rPr>
          <w:rFonts w:hint="eastAsia" w:asciiTheme="minorEastAsia" w:hAnsiTheme="minorEastAsia" w:eastAsiaTheme="minorEastAsia" w:cstheme="minorEastAsia"/>
          <w:b w:val="0"/>
          <w:bCs w:val="0"/>
          <w:color w:val="auto"/>
          <w:sz w:val="24"/>
          <w:szCs w:val="24"/>
          <w:lang w:eastAsia="zh-CN"/>
        </w:rPr>
        <w:t>有无</w:t>
      </w:r>
      <w:r>
        <w:rPr>
          <w:rFonts w:hint="eastAsia" w:asciiTheme="minorEastAsia" w:hAnsiTheme="minorEastAsia" w:eastAsiaTheme="minorEastAsia" w:cstheme="minorEastAsia"/>
          <w:b w:val="0"/>
          <w:bCs w:val="0"/>
          <w:color w:val="auto"/>
          <w:sz w:val="24"/>
          <w:szCs w:val="24"/>
        </w:rPr>
        <w:t>串换药品、套现</w:t>
      </w:r>
      <w:r>
        <w:rPr>
          <w:rFonts w:hint="eastAsia" w:asciiTheme="minorEastAsia" w:hAnsiTheme="minorEastAsia" w:eastAsiaTheme="minorEastAsia" w:cstheme="minorEastAsia"/>
          <w:b w:val="0"/>
          <w:bCs w:val="0"/>
          <w:color w:val="auto"/>
          <w:sz w:val="24"/>
          <w:szCs w:val="24"/>
          <w:lang w:eastAsia="zh-CN"/>
        </w:rPr>
        <w:t>、购买化妆品、生活用品</w:t>
      </w:r>
      <w:r>
        <w:rPr>
          <w:rFonts w:hint="eastAsia" w:asciiTheme="minorEastAsia" w:hAnsiTheme="minorEastAsia" w:eastAsiaTheme="minorEastAsia" w:cstheme="minorEastAsia"/>
          <w:b w:val="0"/>
          <w:bCs w:val="0"/>
          <w:color w:val="auto"/>
          <w:sz w:val="24"/>
          <w:szCs w:val="24"/>
        </w:rPr>
        <w:t>等行为；</w:t>
      </w:r>
    </w:p>
    <w:p w14:paraId="5A4F9BA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3、日常检查：通过对两定单位</w:t>
      </w:r>
      <w:r>
        <w:rPr>
          <w:rFonts w:hint="eastAsia" w:asciiTheme="minorEastAsia" w:hAnsiTheme="minorEastAsia" w:eastAsiaTheme="minorEastAsia" w:cstheme="minorEastAsia"/>
          <w:b w:val="0"/>
          <w:bCs w:val="0"/>
          <w:color w:val="auto"/>
          <w:sz w:val="24"/>
          <w:szCs w:val="24"/>
          <w:lang w:eastAsia="zh-CN"/>
        </w:rPr>
        <w:t>定期</w:t>
      </w:r>
      <w:r>
        <w:rPr>
          <w:rFonts w:hint="eastAsia" w:asciiTheme="minorEastAsia" w:hAnsiTheme="minorEastAsia" w:eastAsiaTheme="minorEastAsia" w:cstheme="minorEastAsia"/>
          <w:b w:val="0"/>
          <w:bCs w:val="0"/>
          <w:color w:val="auto"/>
          <w:sz w:val="24"/>
          <w:szCs w:val="24"/>
        </w:rPr>
        <w:t>不定期检查，及时发现违约、违规情况，督促两定单位进行整改；</w:t>
      </w:r>
    </w:p>
    <w:p w14:paraId="1265A07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4、专项检查：</w:t>
      </w:r>
      <w:r>
        <w:rPr>
          <w:rFonts w:hint="eastAsia" w:asciiTheme="minorEastAsia" w:hAnsiTheme="minorEastAsia" w:eastAsiaTheme="minorEastAsia" w:cstheme="minorEastAsia"/>
          <w:b w:val="0"/>
          <w:bCs w:val="0"/>
          <w:color w:val="auto"/>
          <w:sz w:val="24"/>
          <w:szCs w:val="24"/>
        </w:rPr>
        <w:t>通过开展</w:t>
      </w:r>
      <w:r>
        <w:rPr>
          <w:rFonts w:hint="eastAsia" w:asciiTheme="minorEastAsia" w:hAnsiTheme="minorEastAsia" w:eastAsiaTheme="minorEastAsia" w:cstheme="minorEastAsia"/>
          <w:b w:val="0"/>
          <w:bCs w:val="0"/>
          <w:color w:val="auto"/>
          <w:sz w:val="24"/>
          <w:szCs w:val="24"/>
          <w:lang w:eastAsia="zh-CN"/>
        </w:rPr>
        <w:t>检查伪造医疗文书和票据、</w:t>
      </w:r>
      <w:r>
        <w:rPr>
          <w:rFonts w:hint="eastAsia" w:asciiTheme="minorEastAsia" w:hAnsiTheme="minorEastAsia" w:eastAsiaTheme="minorEastAsia" w:cstheme="minorEastAsia"/>
          <w:b w:val="0"/>
          <w:bCs w:val="0"/>
          <w:color w:val="auto"/>
          <w:sz w:val="24"/>
          <w:szCs w:val="24"/>
        </w:rPr>
        <w:t>挂床住院</w:t>
      </w:r>
      <w:r>
        <w:rPr>
          <w:rFonts w:hint="eastAsia" w:asciiTheme="minorEastAsia" w:hAnsiTheme="minorEastAsia" w:eastAsiaTheme="minorEastAsia" w:cstheme="minorEastAsia"/>
          <w:b w:val="0"/>
          <w:bCs w:val="0"/>
          <w:color w:val="auto"/>
          <w:sz w:val="24"/>
          <w:szCs w:val="24"/>
          <w:lang w:eastAsia="zh-CN"/>
        </w:rPr>
        <w:t>、串换药品、耗材、诊疗目录等</w:t>
      </w:r>
      <w:r>
        <w:rPr>
          <w:rFonts w:hint="eastAsia" w:asciiTheme="minorEastAsia" w:hAnsiTheme="minorEastAsia" w:eastAsiaTheme="minorEastAsia" w:cstheme="minorEastAsia"/>
          <w:b w:val="0"/>
          <w:bCs w:val="0"/>
          <w:color w:val="auto"/>
          <w:sz w:val="24"/>
          <w:szCs w:val="24"/>
        </w:rPr>
        <w:t>专项检查等方式，打击欺诈骗保行为，保证基金安全；</w:t>
      </w:r>
    </w:p>
    <w:p w14:paraId="4845906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5、季度考核：</w:t>
      </w:r>
      <w:r>
        <w:rPr>
          <w:rFonts w:hint="eastAsia" w:asciiTheme="minorEastAsia" w:hAnsiTheme="minorEastAsia" w:eastAsiaTheme="minorEastAsia" w:cstheme="minorEastAsia"/>
          <w:b w:val="0"/>
          <w:bCs w:val="0"/>
          <w:color w:val="auto"/>
          <w:sz w:val="24"/>
          <w:szCs w:val="24"/>
        </w:rPr>
        <w:t>以省考核文件</w:t>
      </w:r>
      <w:r>
        <w:rPr>
          <w:rFonts w:hint="eastAsia" w:asciiTheme="minorEastAsia" w:hAnsiTheme="minorEastAsia" w:eastAsiaTheme="minorEastAsia" w:cstheme="minorEastAsia"/>
          <w:b w:val="0"/>
          <w:bCs w:val="0"/>
          <w:color w:val="auto"/>
          <w:sz w:val="24"/>
          <w:szCs w:val="24"/>
          <w:lang w:eastAsia="zh-CN"/>
        </w:rPr>
        <w:t>或签订协议</w:t>
      </w:r>
      <w:r>
        <w:rPr>
          <w:rFonts w:hint="eastAsia" w:asciiTheme="minorEastAsia" w:hAnsiTheme="minorEastAsia" w:eastAsiaTheme="minorEastAsia" w:cstheme="minorEastAsia"/>
          <w:b w:val="0"/>
          <w:bCs w:val="0"/>
          <w:color w:val="auto"/>
          <w:sz w:val="24"/>
          <w:szCs w:val="24"/>
        </w:rPr>
        <w:t>为标准，对两定单位每季度协议履行情况进行检查，并根据考核指标形成量化考核结果；</w:t>
      </w:r>
    </w:p>
    <w:p w14:paraId="7989BC0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6、年度考核：</w:t>
      </w:r>
      <w:r>
        <w:rPr>
          <w:rFonts w:hint="eastAsia" w:asciiTheme="minorEastAsia" w:hAnsiTheme="minorEastAsia" w:eastAsiaTheme="minorEastAsia" w:cstheme="minorEastAsia"/>
          <w:b w:val="0"/>
          <w:bCs w:val="0"/>
          <w:color w:val="auto"/>
          <w:sz w:val="24"/>
          <w:szCs w:val="24"/>
        </w:rPr>
        <w:t>以省考核文件</w:t>
      </w:r>
      <w:r>
        <w:rPr>
          <w:rFonts w:hint="eastAsia" w:asciiTheme="minorEastAsia" w:hAnsiTheme="minorEastAsia" w:eastAsiaTheme="minorEastAsia" w:cstheme="minorEastAsia"/>
          <w:b w:val="0"/>
          <w:bCs w:val="0"/>
          <w:color w:val="auto"/>
          <w:sz w:val="24"/>
          <w:szCs w:val="24"/>
          <w:lang w:eastAsia="zh-CN"/>
        </w:rPr>
        <w:t>或签订协议</w:t>
      </w:r>
      <w:r>
        <w:rPr>
          <w:rFonts w:hint="eastAsia" w:asciiTheme="minorEastAsia" w:hAnsiTheme="minorEastAsia" w:eastAsiaTheme="minorEastAsia" w:cstheme="minorEastAsia"/>
          <w:b w:val="0"/>
          <w:bCs w:val="0"/>
          <w:color w:val="auto"/>
          <w:sz w:val="24"/>
          <w:szCs w:val="24"/>
        </w:rPr>
        <w:t>为标准，对两定单位全年协议履行情况进行检查，并根据考核指标形成量化考核结果。</w:t>
      </w:r>
    </w:p>
    <w:p w14:paraId="6660EC5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44"/>
          <w:sz w:val="24"/>
          <w:szCs w:val="24"/>
          <w:lang w:val="en-US" w:eastAsia="zh-CN" w:bidi="ar-SA"/>
        </w:rPr>
        <w:t>第四条：监管方式。</w:t>
      </w:r>
      <w:r>
        <w:rPr>
          <w:rFonts w:hint="eastAsia" w:asciiTheme="minorEastAsia" w:hAnsiTheme="minorEastAsia" w:eastAsiaTheme="minorEastAsia" w:cstheme="minorEastAsia"/>
          <w:b w:val="0"/>
          <w:bCs w:val="0"/>
          <w:color w:val="auto"/>
          <w:sz w:val="24"/>
          <w:szCs w:val="24"/>
        </w:rPr>
        <w:t>在实际工作中，各种监控手段并非独立运行，以《</w:t>
      </w:r>
      <w:r>
        <w:rPr>
          <w:rFonts w:hint="eastAsia" w:asciiTheme="minorEastAsia" w:hAnsiTheme="minorEastAsia" w:eastAsiaTheme="minorEastAsia" w:cstheme="minorEastAsia"/>
          <w:b w:val="0"/>
          <w:bCs w:val="0"/>
          <w:color w:val="auto"/>
          <w:sz w:val="24"/>
          <w:szCs w:val="24"/>
          <w:lang w:eastAsia="zh-CN"/>
        </w:rPr>
        <w:t>吉林省医疗保障基金监督管理飞行检查工作方案（试行）</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吉医保发</w:t>
      </w:r>
      <w:r>
        <w:rPr>
          <w:rFonts w:hint="eastAsia" w:asciiTheme="minorEastAsia" w:hAnsiTheme="minorEastAsia" w:eastAsiaTheme="minorEastAsia" w:cstheme="minorEastAsia"/>
          <w:b w:val="0"/>
          <w:bCs w:val="0"/>
          <w:color w:val="auto"/>
          <w:sz w:val="24"/>
          <w:szCs w:val="24"/>
          <w:lang w:val="en-US" w:eastAsia="zh-CN"/>
        </w:rPr>
        <w:t>[2019]23号文件</w:t>
      </w:r>
      <w:r>
        <w:rPr>
          <w:rFonts w:hint="eastAsia" w:asciiTheme="minorEastAsia" w:hAnsiTheme="minorEastAsia" w:eastAsiaTheme="minorEastAsia" w:cstheme="minorEastAsia"/>
          <w:b w:val="0"/>
          <w:bCs w:val="0"/>
          <w:color w:val="auto"/>
          <w:sz w:val="24"/>
          <w:szCs w:val="24"/>
        </w:rPr>
        <w:t>为依托，对全市</w:t>
      </w:r>
      <w:r>
        <w:rPr>
          <w:rFonts w:hint="eastAsia" w:asciiTheme="minorEastAsia" w:hAnsiTheme="minorEastAsia" w:eastAsiaTheme="minorEastAsia" w:cstheme="minorEastAsia"/>
          <w:b w:val="0"/>
          <w:bCs w:val="0"/>
          <w:color w:val="auto"/>
          <w:sz w:val="24"/>
          <w:szCs w:val="24"/>
          <w:lang w:val="en-US" w:eastAsia="zh-CN"/>
        </w:rPr>
        <w:t>两定</w:t>
      </w:r>
      <w:r>
        <w:rPr>
          <w:rFonts w:hint="eastAsia" w:asciiTheme="minorEastAsia" w:hAnsiTheme="minorEastAsia" w:eastAsiaTheme="minorEastAsia" w:cstheme="minorEastAsia"/>
          <w:b w:val="0"/>
          <w:bCs w:val="0"/>
          <w:color w:val="auto"/>
          <w:sz w:val="24"/>
          <w:szCs w:val="24"/>
        </w:rPr>
        <w:t>机构进行</w:t>
      </w:r>
      <w:r>
        <w:rPr>
          <w:rFonts w:hint="eastAsia" w:asciiTheme="minorEastAsia" w:hAnsiTheme="minorEastAsia" w:eastAsiaTheme="minorEastAsia" w:cstheme="minorEastAsia"/>
          <w:b w:val="0"/>
          <w:bCs w:val="0"/>
          <w:color w:val="auto"/>
          <w:sz w:val="24"/>
          <w:szCs w:val="24"/>
          <w:lang w:eastAsia="zh-CN"/>
        </w:rPr>
        <w:t>不定期检查</w:t>
      </w:r>
      <w:r>
        <w:rPr>
          <w:rFonts w:hint="eastAsia" w:asciiTheme="minorEastAsia" w:hAnsiTheme="minorEastAsia" w:eastAsiaTheme="minorEastAsia" w:cstheme="minorEastAsia"/>
          <w:b w:val="0"/>
          <w:bCs w:val="0"/>
          <w:color w:val="auto"/>
          <w:sz w:val="24"/>
          <w:szCs w:val="24"/>
        </w:rPr>
        <w:t>，对</w:t>
      </w:r>
      <w:r>
        <w:rPr>
          <w:rFonts w:hint="eastAsia" w:asciiTheme="minorEastAsia" w:hAnsiTheme="minorEastAsia" w:eastAsiaTheme="minorEastAsia" w:cstheme="minorEastAsia"/>
          <w:b w:val="0"/>
          <w:bCs w:val="0"/>
          <w:color w:val="auto"/>
          <w:sz w:val="24"/>
          <w:szCs w:val="24"/>
          <w:lang w:eastAsia="zh-CN"/>
        </w:rPr>
        <w:t>检查</w:t>
      </w:r>
      <w:r>
        <w:rPr>
          <w:rFonts w:hint="eastAsia" w:asciiTheme="minorEastAsia" w:hAnsiTheme="minorEastAsia" w:eastAsiaTheme="minorEastAsia" w:cstheme="minorEastAsia"/>
          <w:b w:val="0"/>
          <w:bCs w:val="0"/>
          <w:color w:val="auto"/>
          <w:sz w:val="24"/>
          <w:szCs w:val="24"/>
        </w:rPr>
        <w:t>中存在的问题要求</w:t>
      </w:r>
      <w:r>
        <w:rPr>
          <w:rFonts w:hint="eastAsia" w:asciiTheme="minorEastAsia" w:hAnsiTheme="minorEastAsia" w:eastAsiaTheme="minorEastAsia" w:cstheme="minorEastAsia"/>
          <w:b w:val="0"/>
          <w:bCs w:val="0"/>
          <w:color w:val="auto"/>
          <w:sz w:val="24"/>
          <w:szCs w:val="24"/>
          <w:lang w:val="en-US" w:eastAsia="zh-CN"/>
        </w:rPr>
        <w:t>两定</w:t>
      </w:r>
      <w:r>
        <w:rPr>
          <w:rFonts w:hint="eastAsia" w:asciiTheme="minorEastAsia" w:hAnsiTheme="minorEastAsia" w:eastAsiaTheme="minorEastAsia" w:cstheme="minorEastAsia"/>
          <w:b w:val="0"/>
          <w:bCs w:val="0"/>
          <w:color w:val="auto"/>
          <w:sz w:val="24"/>
          <w:szCs w:val="24"/>
        </w:rPr>
        <w:t>机构进行整改，并根据</w:t>
      </w:r>
      <w:r>
        <w:rPr>
          <w:rFonts w:hint="eastAsia" w:asciiTheme="minorEastAsia" w:hAnsiTheme="minorEastAsia" w:eastAsiaTheme="minorEastAsia" w:cstheme="minorEastAsia"/>
          <w:b w:val="0"/>
          <w:bCs w:val="0"/>
          <w:color w:val="auto"/>
          <w:sz w:val="24"/>
          <w:szCs w:val="24"/>
          <w:lang w:eastAsia="zh-CN"/>
        </w:rPr>
        <w:t>检查结果</w:t>
      </w:r>
      <w:r>
        <w:rPr>
          <w:rFonts w:hint="eastAsia" w:asciiTheme="minorEastAsia" w:hAnsiTheme="minorEastAsia" w:eastAsiaTheme="minorEastAsia" w:cstheme="minorEastAsia"/>
          <w:b w:val="0"/>
          <w:bCs w:val="0"/>
          <w:color w:val="auto"/>
          <w:sz w:val="24"/>
          <w:szCs w:val="24"/>
        </w:rPr>
        <w:t>对</w:t>
      </w:r>
      <w:r>
        <w:rPr>
          <w:rFonts w:hint="eastAsia" w:asciiTheme="minorEastAsia" w:hAnsiTheme="minorEastAsia" w:eastAsiaTheme="minorEastAsia" w:cstheme="minorEastAsia"/>
          <w:b w:val="0"/>
          <w:bCs w:val="0"/>
          <w:color w:val="auto"/>
          <w:sz w:val="24"/>
          <w:szCs w:val="24"/>
          <w:lang w:val="en-US" w:eastAsia="zh-CN"/>
        </w:rPr>
        <w:t>两定</w:t>
      </w:r>
      <w:r>
        <w:rPr>
          <w:rFonts w:hint="eastAsia" w:asciiTheme="minorEastAsia" w:hAnsiTheme="minorEastAsia" w:eastAsiaTheme="minorEastAsia" w:cstheme="minorEastAsia"/>
          <w:b w:val="0"/>
          <w:bCs w:val="0"/>
          <w:color w:val="auto"/>
          <w:sz w:val="24"/>
          <w:szCs w:val="24"/>
        </w:rPr>
        <w:t>机构进行奖惩，逐步建立退出机制，激励</w:t>
      </w:r>
      <w:r>
        <w:rPr>
          <w:rFonts w:hint="eastAsia" w:asciiTheme="minorEastAsia" w:hAnsiTheme="minorEastAsia" w:eastAsiaTheme="minorEastAsia" w:cstheme="minorEastAsia"/>
          <w:b w:val="0"/>
          <w:bCs w:val="0"/>
          <w:color w:val="auto"/>
          <w:sz w:val="24"/>
          <w:szCs w:val="24"/>
          <w:lang w:val="en-US" w:eastAsia="zh-CN"/>
        </w:rPr>
        <w:t>两定</w:t>
      </w:r>
      <w:r>
        <w:rPr>
          <w:rFonts w:hint="eastAsia" w:asciiTheme="minorEastAsia" w:hAnsiTheme="minorEastAsia" w:eastAsiaTheme="minorEastAsia" w:cstheme="minorEastAsia"/>
          <w:b w:val="0"/>
          <w:bCs w:val="0"/>
          <w:color w:val="auto"/>
          <w:sz w:val="24"/>
          <w:szCs w:val="24"/>
        </w:rPr>
        <w:t>机构严格要求提升服务质量。利用网络监控系统和影像监控系统，通过对</w:t>
      </w:r>
      <w:r>
        <w:rPr>
          <w:rFonts w:hint="eastAsia" w:asciiTheme="minorEastAsia" w:hAnsiTheme="minorEastAsia" w:eastAsiaTheme="minorEastAsia" w:cstheme="minorEastAsia"/>
          <w:b w:val="0"/>
          <w:bCs w:val="0"/>
          <w:color w:val="auto"/>
          <w:sz w:val="24"/>
          <w:szCs w:val="24"/>
          <w:lang w:val="en-US" w:eastAsia="zh-CN"/>
        </w:rPr>
        <w:t>两定</w:t>
      </w:r>
      <w:r>
        <w:rPr>
          <w:rFonts w:hint="eastAsia" w:asciiTheme="minorEastAsia" w:hAnsiTheme="minorEastAsia" w:eastAsiaTheme="minorEastAsia" w:cstheme="minorEastAsia"/>
          <w:b w:val="0"/>
          <w:bCs w:val="0"/>
          <w:color w:val="auto"/>
          <w:sz w:val="24"/>
          <w:szCs w:val="24"/>
        </w:rPr>
        <w:t>机构费用审核，及时发现问题、解决问题，</w:t>
      </w:r>
      <w:r>
        <w:rPr>
          <w:rFonts w:hint="eastAsia" w:asciiTheme="minorEastAsia" w:hAnsiTheme="minorEastAsia" w:eastAsiaTheme="minorEastAsia" w:cstheme="minorEastAsia"/>
          <w:b w:val="0"/>
          <w:bCs w:val="0"/>
          <w:color w:val="auto"/>
          <w:sz w:val="24"/>
          <w:szCs w:val="24"/>
          <w:lang w:eastAsia="zh-CN"/>
        </w:rPr>
        <w:t>将原来的“事前提醒、事中检查、事后审核”</w:t>
      </w:r>
      <w:r>
        <w:rPr>
          <w:rFonts w:hint="eastAsia" w:asciiTheme="minorEastAsia" w:hAnsiTheme="minorEastAsia" w:eastAsiaTheme="minorEastAsia" w:cstheme="minorEastAsia"/>
          <w:b w:val="0"/>
          <w:bCs w:val="0"/>
          <w:color w:val="auto"/>
          <w:sz w:val="24"/>
          <w:szCs w:val="24"/>
        </w:rPr>
        <w:t>逐步</w:t>
      </w:r>
      <w:r>
        <w:rPr>
          <w:rFonts w:hint="eastAsia" w:asciiTheme="minorEastAsia" w:hAnsiTheme="minorEastAsia" w:eastAsiaTheme="minorEastAsia" w:cstheme="minorEastAsia"/>
          <w:b w:val="0"/>
          <w:bCs w:val="0"/>
          <w:color w:val="auto"/>
          <w:sz w:val="24"/>
          <w:szCs w:val="24"/>
          <w:lang w:eastAsia="zh-CN"/>
        </w:rPr>
        <w:t>过渡到“事前审核”，使</w:t>
      </w:r>
      <w:r>
        <w:rPr>
          <w:rFonts w:hint="eastAsia" w:asciiTheme="minorEastAsia" w:hAnsiTheme="minorEastAsia" w:eastAsiaTheme="minorEastAsia" w:cstheme="minorEastAsia"/>
          <w:b w:val="0"/>
          <w:bCs w:val="0"/>
          <w:color w:val="auto"/>
          <w:sz w:val="24"/>
          <w:szCs w:val="24"/>
        </w:rPr>
        <w:t>监管工作前移，建立防控结合，以防为主的监控体系，防患于未然，保证基金安全。</w:t>
      </w:r>
    </w:p>
    <w:p w14:paraId="486BC58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71789CAE">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第三章 医保基金监管有关档案的收集、整理和保存</w:t>
      </w:r>
    </w:p>
    <w:p w14:paraId="43B8124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第五条：</w:t>
      </w:r>
      <w:r>
        <w:rPr>
          <w:rFonts w:hint="eastAsia" w:asciiTheme="minorEastAsia" w:hAnsiTheme="minorEastAsia" w:eastAsiaTheme="minorEastAsia" w:cstheme="minorEastAsia"/>
          <w:b w:val="0"/>
          <w:bCs w:val="0"/>
          <w:color w:val="auto"/>
          <w:sz w:val="24"/>
          <w:szCs w:val="24"/>
        </w:rPr>
        <w:t>实地检查。实地检查时，需两人以上共同参加</w:t>
      </w:r>
      <w:r>
        <w:rPr>
          <w:rFonts w:hint="eastAsia" w:asciiTheme="minorEastAsia" w:hAnsiTheme="minorEastAsia" w:eastAsiaTheme="minorEastAsia" w:cstheme="minorEastAsia"/>
          <w:b w:val="0"/>
          <w:bCs w:val="0"/>
          <w:color w:val="auto"/>
          <w:sz w:val="24"/>
          <w:szCs w:val="24"/>
          <w:lang w:eastAsia="zh-CN"/>
        </w:rPr>
        <w:t>，携带必要的执法监督记录仪等相关设备，发现问题要及时与上级领导沟通，不得瞒报、漏报</w:t>
      </w:r>
      <w:r>
        <w:rPr>
          <w:rFonts w:hint="eastAsia" w:asciiTheme="minorEastAsia" w:hAnsiTheme="minorEastAsia" w:eastAsiaTheme="minorEastAsia" w:cstheme="minorEastAsia"/>
          <w:b w:val="0"/>
          <w:bCs w:val="0"/>
          <w:color w:val="auto"/>
          <w:sz w:val="24"/>
          <w:szCs w:val="24"/>
        </w:rPr>
        <w:t>。检查内容包括病历资料、处方、检查化验登记资料、医保票据存根、费用清单</w:t>
      </w:r>
      <w:r>
        <w:rPr>
          <w:rFonts w:hint="eastAsia" w:asciiTheme="minorEastAsia" w:hAnsiTheme="minorEastAsia" w:eastAsiaTheme="minorEastAsia" w:cstheme="minorEastAsia"/>
          <w:b w:val="0"/>
          <w:bCs w:val="0"/>
          <w:color w:val="auto"/>
          <w:sz w:val="24"/>
          <w:szCs w:val="24"/>
          <w:lang w:eastAsia="zh-CN"/>
        </w:rPr>
        <w:t>，涉及定点药店的要调查药品购、销、存</w:t>
      </w:r>
      <w:r>
        <w:rPr>
          <w:rFonts w:hint="eastAsia" w:asciiTheme="minorEastAsia" w:hAnsiTheme="minorEastAsia" w:eastAsiaTheme="minorEastAsia" w:cstheme="minorEastAsia"/>
          <w:b w:val="0"/>
          <w:bCs w:val="0"/>
          <w:color w:val="auto"/>
          <w:sz w:val="24"/>
          <w:szCs w:val="24"/>
        </w:rPr>
        <w:t>等</w:t>
      </w:r>
      <w:r>
        <w:rPr>
          <w:rFonts w:hint="eastAsia" w:asciiTheme="minorEastAsia" w:hAnsiTheme="minorEastAsia" w:eastAsiaTheme="minorEastAsia" w:cstheme="minorEastAsia"/>
          <w:b w:val="0"/>
          <w:bCs w:val="0"/>
          <w:color w:val="auto"/>
          <w:sz w:val="24"/>
          <w:szCs w:val="24"/>
          <w:lang w:eastAsia="zh-CN"/>
        </w:rPr>
        <w:t>内容</w:t>
      </w:r>
      <w:r>
        <w:rPr>
          <w:rFonts w:hint="eastAsia" w:asciiTheme="minorEastAsia" w:hAnsiTheme="minorEastAsia" w:eastAsiaTheme="minorEastAsia" w:cstheme="minorEastAsia"/>
          <w:b w:val="0"/>
          <w:bCs w:val="0"/>
          <w:color w:val="auto"/>
          <w:sz w:val="24"/>
          <w:szCs w:val="24"/>
        </w:rPr>
        <w:t>。</w:t>
      </w:r>
    </w:p>
    <w:p w14:paraId="1E93E8A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第六条：</w:t>
      </w:r>
      <w:r>
        <w:rPr>
          <w:rFonts w:hint="eastAsia" w:asciiTheme="minorEastAsia" w:hAnsiTheme="minorEastAsia" w:eastAsiaTheme="minorEastAsia" w:cstheme="minorEastAsia"/>
          <w:b w:val="0"/>
          <w:bCs w:val="0"/>
          <w:color w:val="auto"/>
          <w:sz w:val="24"/>
          <w:szCs w:val="24"/>
        </w:rPr>
        <w:t>书面资料检查。书面资料检查时，实行二级复核制度</w:t>
      </w:r>
      <w:r>
        <w:rPr>
          <w:rFonts w:hint="eastAsia" w:asciiTheme="minorEastAsia" w:hAnsiTheme="minorEastAsia" w:eastAsiaTheme="minorEastAsia" w:cstheme="minorEastAsia"/>
          <w:b w:val="0"/>
          <w:bCs w:val="0"/>
          <w:color w:val="auto"/>
          <w:sz w:val="24"/>
          <w:szCs w:val="24"/>
          <w:lang w:eastAsia="zh-CN"/>
        </w:rPr>
        <w:t>，主要由审核人、复核人、主管领导构成</w:t>
      </w:r>
      <w:r>
        <w:rPr>
          <w:rFonts w:hint="eastAsia" w:asciiTheme="minorEastAsia" w:hAnsiTheme="minorEastAsia" w:eastAsiaTheme="minorEastAsia" w:cstheme="minorEastAsia"/>
          <w:b w:val="0"/>
          <w:bCs w:val="0"/>
          <w:color w:val="auto"/>
          <w:sz w:val="24"/>
          <w:szCs w:val="24"/>
        </w:rPr>
        <w:t>。检查内容包括病历资料、处方、检查化验登记资料、医保票据存根、费用清单</w:t>
      </w:r>
      <w:r>
        <w:rPr>
          <w:rFonts w:hint="eastAsia" w:asciiTheme="minorEastAsia" w:hAnsiTheme="minorEastAsia" w:eastAsiaTheme="minorEastAsia" w:cstheme="minorEastAsia"/>
          <w:b w:val="0"/>
          <w:bCs w:val="0"/>
          <w:color w:val="auto"/>
          <w:sz w:val="24"/>
          <w:szCs w:val="24"/>
          <w:lang w:eastAsia="zh-CN"/>
        </w:rPr>
        <w:t>、定点药店的购、销、存资料</w:t>
      </w:r>
      <w:r>
        <w:rPr>
          <w:rFonts w:hint="eastAsia" w:asciiTheme="minorEastAsia" w:hAnsiTheme="minorEastAsia" w:eastAsiaTheme="minorEastAsia" w:cstheme="minorEastAsia"/>
          <w:b w:val="0"/>
          <w:bCs w:val="0"/>
          <w:color w:val="auto"/>
          <w:sz w:val="24"/>
          <w:szCs w:val="24"/>
        </w:rPr>
        <w:t>等。</w:t>
      </w:r>
    </w:p>
    <w:p w14:paraId="41506793">
      <w:pPr>
        <w:pageBreakBefore w:val="0"/>
        <w:kinsoku/>
        <w:overflowPunct/>
        <w:topLinePunct w:val="0"/>
        <w:bidi w:val="0"/>
        <w:spacing w:line="580" w:lineRule="exact"/>
        <w:ind w:left="0" w:firstLine="540" w:firstLineChars="225"/>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第七条：</w:t>
      </w:r>
      <w:r>
        <w:rPr>
          <w:rFonts w:hint="eastAsia" w:asciiTheme="minorEastAsia" w:hAnsiTheme="minorEastAsia" w:eastAsiaTheme="minorEastAsia" w:cstheme="minorEastAsia"/>
          <w:b w:val="0"/>
          <w:bCs w:val="0"/>
          <w:color w:val="auto"/>
          <w:sz w:val="24"/>
          <w:szCs w:val="24"/>
        </w:rPr>
        <w:t>网络监控。</w:t>
      </w:r>
      <w:r>
        <w:rPr>
          <w:rFonts w:hint="eastAsia" w:asciiTheme="minorEastAsia" w:hAnsiTheme="minorEastAsia" w:eastAsiaTheme="minorEastAsia" w:cstheme="minorEastAsia"/>
          <w:b w:val="0"/>
          <w:bCs w:val="0"/>
          <w:color w:val="auto"/>
          <w:sz w:val="24"/>
          <w:szCs w:val="24"/>
          <w:lang w:eastAsia="zh-CN"/>
        </w:rPr>
        <w:t>结合智能审核系统，对数据</w:t>
      </w:r>
      <w:r>
        <w:rPr>
          <w:rFonts w:hint="eastAsia" w:asciiTheme="minorEastAsia" w:hAnsiTheme="minorEastAsia" w:eastAsiaTheme="minorEastAsia" w:cstheme="minorEastAsia"/>
          <w:b w:val="0"/>
          <w:bCs w:val="0"/>
          <w:color w:val="auto"/>
          <w:sz w:val="24"/>
          <w:szCs w:val="24"/>
        </w:rPr>
        <w:t>存在异常的，转入实地检查或书面资料检查；必要时调查参保患者、经治医师</w:t>
      </w:r>
      <w:r>
        <w:rPr>
          <w:rFonts w:hint="eastAsia" w:asciiTheme="minorEastAsia" w:hAnsiTheme="minorEastAsia" w:eastAsiaTheme="minorEastAsia" w:cstheme="minorEastAsia"/>
          <w:b w:val="0"/>
          <w:bCs w:val="0"/>
          <w:color w:val="auto"/>
          <w:sz w:val="24"/>
          <w:szCs w:val="24"/>
          <w:lang w:eastAsia="zh-CN"/>
        </w:rPr>
        <w:t>、护士</w:t>
      </w:r>
      <w:r>
        <w:rPr>
          <w:rFonts w:hint="eastAsia" w:asciiTheme="minorEastAsia" w:hAnsiTheme="minorEastAsia" w:eastAsiaTheme="minorEastAsia" w:cstheme="minorEastAsia"/>
          <w:b w:val="0"/>
          <w:bCs w:val="0"/>
          <w:color w:val="auto"/>
          <w:sz w:val="24"/>
          <w:szCs w:val="24"/>
        </w:rPr>
        <w:t>等相关人员。</w:t>
      </w:r>
    </w:p>
    <w:p w14:paraId="75D10AF7">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第八条：</w:t>
      </w:r>
      <w:r>
        <w:rPr>
          <w:rFonts w:hint="eastAsia" w:asciiTheme="minorEastAsia" w:hAnsiTheme="minorEastAsia" w:eastAsiaTheme="minorEastAsia" w:cstheme="minorEastAsia"/>
          <w:b w:val="0"/>
          <w:bCs w:val="0"/>
          <w:color w:val="auto"/>
          <w:sz w:val="24"/>
          <w:szCs w:val="24"/>
        </w:rPr>
        <w:t>检查单位确认。检查结果需要被检查单位确认</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检查单位对检查结果有异议的，应进行复核。</w:t>
      </w:r>
    </w:p>
    <w:p w14:paraId="62F4D07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第九条：</w:t>
      </w:r>
      <w:r>
        <w:rPr>
          <w:rFonts w:hint="eastAsia" w:asciiTheme="minorEastAsia" w:hAnsiTheme="minorEastAsia" w:eastAsiaTheme="minorEastAsia" w:cstheme="minorEastAsia"/>
          <w:b w:val="0"/>
          <w:bCs w:val="0"/>
          <w:color w:val="auto"/>
          <w:sz w:val="24"/>
          <w:szCs w:val="24"/>
        </w:rPr>
        <w:t>检查结果和初步处理意见及时报领导核准。</w:t>
      </w:r>
    </w:p>
    <w:p w14:paraId="7AE2BAB9">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第十条：</w:t>
      </w:r>
      <w:r>
        <w:rPr>
          <w:rFonts w:hint="eastAsia" w:asciiTheme="minorEastAsia" w:hAnsiTheme="minorEastAsia" w:eastAsiaTheme="minorEastAsia" w:cstheme="minorEastAsia"/>
          <w:b w:val="0"/>
          <w:bCs w:val="0"/>
          <w:color w:val="auto"/>
          <w:sz w:val="24"/>
          <w:szCs w:val="24"/>
        </w:rPr>
        <w:t>提出处理意见</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重大违规处理应经领导核准。</w:t>
      </w:r>
    </w:p>
    <w:p w14:paraId="283F85EC">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第十一条</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告知受处理单位，发放违规处理通知书。</w:t>
      </w:r>
    </w:p>
    <w:p w14:paraId="4BEE2E14">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第十二条：</w:t>
      </w:r>
      <w:r>
        <w:rPr>
          <w:rFonts w:hint="eastAsia" w:asciiTheme="minorEastAsia" w:hAnsiTheme="minorEastAsia" w:eastAsiaTheme="minorEastAsia" w:cstheme="minorEastAsia"/>
          <w:b w:val="0"/>
          <w:bCs w:val="0"/>
          <w:color w:val="auto"/>
          <w:sz w:val="24"/>
          <w:szCs w:val="24"/>
        </w:rPr>
        <w:t>通报局内相关部门落实处理措施，包括拒付（追加拒付）医疗费用，停止网络服务，暂停医保结算，不予报销个人医保费用，暂停医保待遇等。</w:t>
      </w:r>
    </w:p>
    <w:p w14:paraId="732DC35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第十三条：</w:t>
      </w:r>
      <w:r>
        <w:rPr>
          <w:rFonts w:hint="eastAsia" w:asciiTheme="minorEastAsia" w:hAnsiTheme="minorEastAsia" w:eastAsiaTheme="minorEastAsia" w:cstheme="minorEastAsia"/>
          <w:b w:val="0"/>
          <w:bCs w:val="0"/>
          <w:color w:val="auto"/>
          <w:sz w:val="24"/>
          <w:szCs w:val="24"/>
        </w:rPr>
        <w:t>监管情况记录、资料、处理资料等及时归档。</w:t>
      </w:r>
    </w:p>
    <w:p w14:paraId="726004DC">
      <w:pPr>
        <w:bidi w:val="0"/>
        <w:rPr>
          <w:rFonts w:hint="eastAsia" w:asciiTheme="minorEastAsia" w:hAnsiTheme="minorEastAsia" w:eastAsiaTheme="minorEastAsia" w:cstheme="minorEastAsia"/>
          <w:b w:val="0"/>
          <w:bCs w:val="0"/>
          <w:sz w:val="24"/>
          <w:szCs w:val="24"/>
        </w:rPr>
      </w:pPr>
    </w:p>
    <w:p w14:paraId="1E873041">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第四章 外伤稽核</w:t>
      </w:r>
    </w:p>
    <w:p w14:paraId="7B23B277">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第十四条：参保人发生意外伤害事故需要住院治疗的，在办理住院手续后 3个工作日内拨打承保的商业保险公司电话95519进行报案，各定点医疗机构应将此号码张贴在明显标志处，方便就诊患者报案。</w:t>
      </w:r>
    </w:p>
    <w:p w14:paraId="7B603322">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第十五条：参保人员身份是否为农村居民，由商业保险认定。</w:t>
      </w:r>
    </w:p>
    <w:p w14:paraId="6C3E9E05">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第十六条：认定为城镇居民的，需各定点医疗机构上传至医保外伤管理系统，由洮北经办负责审核。</w:t>
      </w:r>
    </w:p>
    <w:p w14:paraId="1A855C82">
      <w:pPr>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第十七条：认定为农村居民的，由商业保险公司审核合格并提供致伤情况审核表后，各定点医疗机构可根据文件要求给予报销。如有省政策调整，以省政策文件为准。</w:t>
      </w:r>
    </w:p>
    <w:p w14:paraId="7C04B20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1EDCD432">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第五章 特药监管</w:t>
      </w:r>
    </w:p>
    <w:p w14:paraId="2BB979E3">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八条：严格规范特药认证管理。针对特药认证，医院首诊认定后，业务经办科室要明确专人在系统中复核确认。并对纸质材料进行严格审查，科室负责人复审，发现问题及时上报局领导，并与医院沟通、核实，针对系统认证信息与纸质申报材料不一致等问题责令认定医院立即整改，针对违规认定等问题，拒绝支付相关待遇。</w:t>
      </w:r>
    </w:p>
    <w:p w14:paraId="505D401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2C1AFDB6">
      <w:pPr>
        <w:pageBreakBefore w:val="0"/>
        <w:numPr>
          <w:ilvl w:val="0"/>
          <w:numId w:val="0"/>
        </w:numPr>
        <w:kinsoku/>
        <w:overflowPunct/>
        <w:topLinePunct w:val="0"/>
        <w:autoSpaceDE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第六章 责任追究</w:t>
      </w:r>
    </w:p>
    <w:p w14:paraId="7E86EDD6">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第十九条：各项业务经办的直接责任人为直接经办该项业务的工作人员，监管责任人为业务科室负责人。</w:t>
      </w:r>
    </w:p>
    <w:p w14:paraId="7977938D">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第二十条：违反下列情形之一的实施责任追究：</w:t>
      </w:r>
    </w:p>
    <w:p w14:paraId="1D82D0B5">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1、违反业务经办操作规程，导致业务经办造成后果的。</w:t>
      </w:r>
    </w:p>
    <w:p w14:paraId="18424E3B">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2、业务经办过程中存在人情因素干扰，导致业务经办违反政策规定且造成后果的。</w:t>
      </w:r>
    </w:p>
    <w:p w14:paraId="7BB12E10">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3、业务经办过程中针对服务对象吃、拿、卡、要、内外勾结、推诿扯皮、服务态度恶劣、不作为、慢作为、乱作为等且造成后果的。</w:t>
      </w:r>
    </w:p>
    <w:p w14:paraId="5D30803D">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4、业务经办过程中存在侵占、挪用、贪污等医保基金行为的。</w:t>
      </w:r>
    </w:p>
    <w:p w14:paraId="45AE71AA">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5、其他违反政策法规行为的。</w:t>
      </w:r>
    </w:p>
    <w:p w14:paraId="3B81C59E">
      <w:pPr>
        <w:pageBreakBefore w:val="0"/>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二十一条：针对存在以上情形的直接责任人和监管责任人，情节较轻且未造成后果的给予批评教育，责令改正。对于因工作失职失责、监管不力且造成后果的责令整改并追缴经济损失，同时调离工作岗位。对于违反相关法律法规且造成严重后果的移交司法机关严肃问责。</w:t>
      </w:r>
    </w:p>
    <w:p w14:paraId="0A8E124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11BCD847">
      <w:pPr>
        <w:pageBreakBefore w:val="0"/>
        <w:kinsoku/>
        <w:overflowPunct/>
        <w:topLinePunct w:val="0"/>
        <w:bidi w:val="0"/>
        <w:spacing w:line="580" w:lineRule="exact"/>
        <w:ind w:left="0" w:leftChars="0" w:right="0" w:rightChars="0" w:firstLine="0" w:firstLineChars="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第七章 附 则</w:t>
      </w:r>
    </w:p>
    <w:p w14:paraId="6054BCCB">
      <w:pPr>
        <w:bidi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第二十二条：</w:t>
      </w:r>
      <w:r>
        <w:rPr>
          <w:rStyle w:val="18"/>
          <w:rFonts w:hint="eastAsia" w:asciiTheme="minorEastAsia" w:hAnsiTheme="minorEastAsia" w:eastAsiaTheme="minorEastAsia" w:cstheme="minorEastAsia"/>
          <w:b w:val="0"/>
          <w:bCs w:val="0"/>
          <w:color w:val="auto"/>
          <w:sz w:val="24"/>
          <w:szCs w:val="24"/>
        </w:rPr>
        <w:t>本制度自发布之日起实施。</w:t>
      </w:r>
    </w:p>
    <w:p w14:paraId="3859DDF0">
      <w:pPr>
        <w:bidi w:val="0"/>
        <w:rPr>
          <w:rFonts w:hint="eastAsia" w:asciiTheme="minorEastAsia" w:hAnsiTheme="minorEastAsia" w:eastAsiaTheme="minorEastAsia" w:cstheme="minorEastAsia"/>
          <w:b w:val="0"/>
          <w:bCs w:val="0"/>
          <w:sz w:val="24"/>
          <w:szCs w:val="24"/>
        </w:rPr>
      </w:pPr>
    </w:p>
    <w:p w14:paraId="4CDBB84E">
      <w:pPr>
        <w:bidi w:val="0"/>
        <w:rPr>
          <w:rFonts w:hint="eastAsia" w:asciiTheme="minorEastAsia" w:hAnsiTheme="minorEastAsia" w:eastAsiaTheme="minorEastAsia" w:cstheme="minorEastAsia"/>
          <w:b/>
          <w:bCs/>
        </w:rPr>
      </w:pPr>
    </w:p>
    <w:p w14:paraId="3FC7A75D">
      <w:pPr>
        <w:bidi w:val="0"/>
        <w:rPr>
          <w:rFonts w:hint="eastAsia" w:asciiTheme="minorEastAsia" w:hAnsiTheme="minorEastAsia" w:eastAsiaTheme="minorEastAsia" w:cstheme="minorEastAsia"/>
          <w:b/>
          <w:bCs/>
        </w:rPr>
      </w:pPr>
    </w:p>
    <w:p w14:paraId="34B524EE">
      <w:pPr>
        <w:bidi w:val="0"/>
        <w:rPr>
          <w:rFonts w:hint="eastAsia" w:asciiTheme="minorEastAsia" w:hAnsiTheme="minorEastAsia" w:eastAsiaTheme="minorEastAsia" w:cstheme="minorEastAsia"/>
          <w:b/>
          <w:bCs/>
        </w:rPr>
      </w:pPr>
    </w:p>
    <w:p w14:paraId="44CF01CA">
      <w:pPr>
        <w:bidi w:val="0"/>
        <w:rPr>
          <w:rFonts w:hint="eastAsia" w:asciiTheme="minorEastAsia" w:hAnsiTheme="minorEastAsia" w:eastAsiaTheme="minorEastAsia" w:cstheme="minorEastAsia"/>
          <w:b/>
          <w:bCs/>
        </w:rPr>
      </w:pPr>
    </w:p>
    <w:p w14:paraId="4A2E5E0A">
      <w:pPr>
        <w:bidi w:val="0"/>
        <w:rPr>
          <w:rFonts w:hint="eastAsia" w:asciiTheme="minorEastAsia" w:hAnsiTheme="minorEastAsia" w:eastAsiaTheme="minorEastAsia" w:cstheme="minorEastAsia"/>
          <w:b/>
          <w:bCs/>
        </w:rPr>
      </w:pPr>
    </w:p>
    <w:p w14:paraId="0DB3EC82">
      <w:pPr>
        <w:bidi w:val="0"/>
        <w:rPr>
          <w:rFonts w:hint="eastAsia" w:asciiTheme="minorEastAsia" w:hAnsiTheme="minorEastAsia" w:eastAsiaTheme="minorEastAsia" w:cstheme="minorEastAsia"/>
          <w:b/>
          <w:bCs/>
        </w:rPr>
      </w:pPr>
    </w:p>
    <w:p w14:paraId="411D4813">
      <w:pPr>
        <w:bidi w:val="0"/>
        <w:rPr>
          <w:rFonts w:hint="eastAsia" w:asciiTheme="minorEastAsia" w:hAnsiTheme="minorEastAsia" w:eastAsiaTheme="minorEastAsia" w:cstheme="minorEastAsia"/>
          <w:b/>
          <w:bCs/>
        </w:rPr>
      </w:pPr>
    </w:p>
    <w:p w14:paraId="123C1F0F">
      <w:pPr>
        <w:bidi w:val="0"/>
        <w:rPr>
          <w:rFonts w:hint="eastAsia" w:asciiTheme="minorEastAsia" w:hAnsiTheme="minorEastAsia" w:eastAsiaTheme="minorEastAsia" w:cstheme="minorEastAsia"/>
          <w:b/>
          <w:bCs/>
        </w:rPr>
      </w:pPr>
    </w:p>
    <w:p w14:paraId="15A1A994">
      <w:pPr>
        <w:bidi w:val="0"/>
        <w:rPr>
          <w:rFonts w:hint="eastAsia" w:asciiTheme="minorEastAsia" w:hAnsiTheme="minorEastAsia" w:eastAsiaTheme="minorEastAsia" w:cstheme="minorEastAsia"/>
          <w:b/>
          <w:bCs/>
        </w:rPr>
      </w:pPr>
    </w:p>
    <w:p w14:paraId="51CD48BD">
      <w:pPr>
        <w:bidi w:val="0"/>
        <w:rPr>
          <w:rFonts w:hint="eastAsia" w:asciiTheme="minorEastAsia" w:hAnsiTheme="minorEastAsia" w:eastAsiaTheme="minorEastAsia" w:cstheme="minorEastAsia"/>
          <w:b/>
          <w:bCs/>
        </w:rPr>
      </w:pPr>
    </w:p>
    <w:p w14:paraId="1204D1B7">
      <w:pPr>
        <w:bidi w:val="0"/>
        <w:rPr>
          <w:rFonts w:hint="eastAsia" w:asciiTheme="minorEastAsia" w:hAnsiTheme="minorEastAsia" w:eastAsiaTheme="minorEastAsia" w:cstheme="minorEastAsia"/>
          <w:b/>
          <w:bCs/>
        </w:rPr>
      </w:pPr>
    </w:p>
    <w:p w14:paraId="3CF0BD85">
      <w:pPr>
        <w:bidi w:val="0"/>
        <w:rPr>
          <w:rFonts w:hint="eastAsia" w:asciiTheme="minorEastAsia" w:hAnsiTheme="minorEastAsia" w:eastAsiaTheme="minorEastAsia" w:cstheme="minorEastAsia"/>
          <w:b/>
          <w:bCs/>
        </w:rPr>
      </w:pPr>
    </w:p>
    <w:p w14:paraId="564B7317">
      <w:pPr>
        <w:bidi w:val="0"/>
        <w:rPr>
          <w:rFonts w:hint="eastAsia" w:asciiTheme="minorEastAsia" w:hAnsiTheme="minorEastAsia" w:eastAsiaTheme="minorEastAsia" w:cstheme="minorEastAsia"/>
          <w:b/>
          <w:bCs/>
        </w:rPr>
      </w:pPr>
    </w:p>
    <w:p w14:paraId="3B862DBA">
      <w:pPr>
        <w:bidi w:val="0"/>
        <w:rPr>
          <w:rFonts w:hint="eastAsia" w:asciiTheme="minorEastAsia" w:hAnsiTheme="minorEastAsia" w:eastAsiaTheme="minorEastAsia" w:cstheme="minorEastAsia"/>
          <w:b/>
          <w:bCs/>
        </w:rPr>
      </w:pPr>
    </w:p>
    <w:p w14:paraId="17D40F50">
      <w:pPr>
        <w:bidi w:val="0"/>
        <w:rPr>
          <w:rFonts w:hint="eastAsia" w:asciiTheme="minorEastAsia" w:hAnsiTheme="minorEastAsia" w:eastAsiaTheme="minorEastAsia" w:cstheme="minorEastAsia"/>
          <w:b/>
          <w:bCs/>
        </w:rPr>
      </w:pPr>
    </w:p>
    <w:p w14:paraId="588BE83B">
      <w:pPr>
        <w:bidi w:val="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事务管理方面的管理制度</w:t>
      </w:r>
    </w:p>
    <w:p w14:paraId="78916818">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财务管理制度</w:t>
      </w:r>
    </w:p>
    <w:p w14:paraId="04BE4CD0">
      <w:pPr>
        <w:keepNext w:val="0"/>
        <w:keepLines w:val="0"/>
        <w:pageBreakBefore w:val="0"/>
        <w:widowControl w:val="0"/>
        <w:kinsoku/>
        <w:wordWrap/>
        <w:overflowPunct/>
        <w:topLinePunct w:val="0"/>
        <w:autoSpaceDE/>
        <w:autoSpaceDN/>
        <w:bidi w:val="0"/>
        <w:adjustRightInd/>
        <w:snapToGrid/>
        <w:spacing w:line="580" w:lineRule="exact"/>
        <w:ind w:left="0" w:firstLine="2409" w:firstLineChars="1000"/>
        <w:jc w:val="both"/>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第一章 总则</w:t>
      </w:r>
    </w:p>
    <w:p w14:paraId="510958E7">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第一条</w:t>
      </w:r>
      <w:r>
        <w:rPr>
          <w:rFonts w:hint="eastAsia" w:asciiTheme="minorEastAsia" w:hAnsiTheme="minorEastAsia" w:eastAsiaTheme="minorEastAsia" w:cstheme="minorEastAsia"/>
          <w:b w:val="0"/>
          <w:bCs w:val="0"/>
          <w:color w:val="auto"/>
          <w:sz w:val="24"/>
          <w:szCs w:val="24"/>
        </w:rPr>
        <w:t xml:space="preserve"> 为进一步加强财务科学化、精细化管理，提高资金使用效益，规范财务行为，保障各项工作顺利开展，依据《中华人民共和国会计法》《中华人民共和国预算法》《中华人民共和国审计法》《会计基础工作规范》《政府会计制度》以及《吉林省省直机关差旅费管理办法》，《中华人民共和国工会法》和《关于党费收缴、使用和管理的相关具体规定》</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结合白城市医疗保障局工作实际，制定本制度。</w:t>
      </w:r>
    </w:p>
    <w:p w14:paraId="5B51DB01">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第二条</w:t>
      </w:r>
      <w:r>
        <w:rPr>
          <w:rFonts w:hint="eastAsia" w:asciiTheme="minorEastAsia" w:hAnsiTheme="minorEastAsia" w:eastAsiaTheme="minorEastAsia" w:cstheme="minorEastAsia"/>
          <w:b w:val="0"/>
          <w:bCs w:val="0"/>
          <w:color w:val="auto"/>
          <w:sz w:val="24"/>
          <w:szCs w:val="24"/>
        </w:rPr>
        <w:t xml:space="preserve"> 财务管理工作应严格执行财经纪律，合理安排各项收支，充分发挥资金使用效益。</w:t>
      </w:r>
    </w:p>
    <w:p w14:paraId="6596B051">
      <w:pPr>
        <w:keepNext w:val="0"/>
        <w:keepLines w:val="0"/>
        <w:pageBreakBefore w:val="0"/>
        <w:kinsoku/>
        <w:wordWrap/>
        <w:overflowPunct/>
        <w:topLinePunct w:val="0"/>
        <w:bidi w:val="0"/>
        <w:snapToGrid/>
        <w:spacing w:line="580" w:lineRule="exact"/>
        <w:ind w:left="0" w:firstLine="480" w:firstLineChars="200"/>
        <w:jc w:val="both"/>
        <w:textAlignment w:val="auto"/>
        <w:rPr>
          <w:rStyle w:val="28"/>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第三条 </w:t>
      </w:r>
      <w:r>
        <w:rPr>
          <w:rFonts w:hint="eastAsia" w:asciiTheme="minorEastAsia" w:hAnsiTheme="minorEastAsia" w:eastAsiaTheme="minorEastAsia" w:cstheme="minorEastAsia"/>
          <w:b w:val="0"/>
          <w:bCs w:val="0"/>
          <w:color w:val="auto"/>
          <w:sz w:val="24"/>
          <w:szCs w:val="24"/>
        </w:rPr>
        <w:t>财务管理工作的基本原则是：量入为出，保障重点，兼顾一般，厉行节约，制止奢侈浪费</w:t>
      </w:r>
      <w:r>
        <w:rPr>
          <w:rFonts w:hint="eastAsia" w:asciiTheme="minorEastAsia" w:hAnsiTheme="minorEastAsia" w:eastAsiaTheme="minorEastAsia" w:cstheme="minorEastAsia"/>
          <w:b w:val="0"/>
          <w:bCs w:val="0"/>
          <w:color w:val="auto"/>
          <w:sz w:val="24"/>
          <w:szCs w:val="24"/>
          <w:lang w:eastAsia="zh-CN"/>
        </w:rPr>
        <w:t>。</w:t>
      </w:r>
    </w:p>
    <w:p w14:paraId="2BD7BE4D">
      <w:pPr>
        <w:pStyle w:val="4"/>
        <w:keepNext w:val="0"/>
        <w:keepLines w:val="0"/>
        <w:pageBreakBefore w:val="0"/>
        <w:widowControl w:val="0"/>
        <w:kinsoku/>
        <w:wordWrap/>
        <w:overflowPunct/>
        <w:topLinePunct w:val="0"/>
        <w:autoSpaceDE/>
        <w:autoSpaceDN/>
        <w:bidi w:val="0"/>
        <w:adjustRightInd/>
        <w:snapToGrid/>
        <w:spacing w:before="200" w:after="0" w:line="580" w:lineRule="exact"/>
        <w:ind w:left="0" w:firstLine="1687" w:firstLineChars="7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第二章</w:t>
      </w:r>
      <w:bookmarkStart w:id="3" w:name="_Toc5303"/>
      <w:bookmarkStart w:id="4" w:name="_Toc7234"/>
      <w:bookmarkStart w:id="5" w:name="_Toc16286"/>
      <w:bookmarkStart w:id="6" w:name="_Toc2594"/>
      <w:bookmarkStart w:id="7" w:name="_Toc18372"/>
      <w:r>
        <w:rPr>
          <w:rFonts w:hint="eastAsia" w:asciiTheme="minorEastAsia" w:hAnsiTheme="minorEastAsia" w:eastAsiaTheme="minorEastAsia" w:cstheme="minorEastAsia"/>
          <w:b/>
          <w:bCs/>
          <w:color w:val="auto"/>
          <w:kern w:val="2"/>
          <w:sz w:val="24"/>
          <w:szCs w:val="24"/>
          <w:lang w:val="en-US" w:eastAsia="zh-CN" w:bidi="ar-SA"/>
        </w:rPr>
        <w:t xml:space="preserve"> 预算和决算</w:t>
      </w:r>
      <w:bookmarkEnd w:id="3"/>
      <w:bookmarkEnd w:id="4"/>
      <w:bookmarkEnd w:id="5"/>
      <w:bookmarkEnd w:id="6"/>
      <w:bookmarkEnd w:id="7"/>
      <w:r>
        <w:rPr>
          <w:rFonts w:hint="eastAsia" w:asciiTheme="minorEastAsia" w:hAnsiTheme="minorEastAsia" w:eastAsiaTheme="minorEastAsia" w:cstheme="minorEastAsia"/>
          <w:b/>
          <w:bCs/>
          <w:color w:val="auto"/>
          <w:kern w:val="2"/>
          <w:sz w:val="24"/>
          <w:szCs w:val="24"/>
          <w:lang w:val="en-US" w:eastAsia="zh-CN" w:bidi="ar-SA"/>
        </w:rPr>
        <w:t>管理</w:t>
      </w:r>
    </w:p>
    <w:p w14:paraId="0F678D49">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第四条</w:t>
      </w:r>
      <w:r>
        <w:rPr>
          <w:rFonts w:hint="eastAsia" w:asciiTheme="minorEastAsia" w:hAnsiTheme="minorEastAsia" w:eastAsiaTheme="minorEastAsia" w:cstheme="minorEastAsia"/>
          <w:b w:val="0"/>
          <w:bCs w:val="0"/>
          <w:color w:val="auto"/>
          <w:sz w:val="24"/>
          <w:szCs w:val="24"/>
        </w:rPr>
        <w:t xml:space="preserve"> 预算和决算要程序规范、方法科学、编制及时、内容完整、数据准确、实事求是，根据全年工作计划分解、细化预算指标，最终以财政局批复的预算数执行本年度预算，年末以决算形式</w:t>
      </w:r>
      <w:r>
        <w:rPr>
          <w:rFonts w:hint="eastAsia" w:asciiTheme="minorEastAsia" w:hAnsiTheme="minorEastAsia" w:eastAsiaTheme="minorEastAsia" w:cstheme="minorEastAsia"/>
          <w:b w:val="0"/>
          <w:bCs w:val="0"/>
          <w:color w:val="auto"/>
          <w:sz w:val="24"/>
          <w:szCs w:val="24"/>
          <w:lang w:eastAsia="zh-CN"/>
        </w:rPr>
        <w:t>上</w:t>
      </w:r>
      <w:r>
        <w:rPr>
          <w:rFonts w:hint="eastAsia" w:asciiTheme="minorEastAsia" w:hAnsiTheme="minorEastAsia" w:eastAsiaTheme="minorEastAsia" w:cstheme="minorEastAsia"/>
          <w:b w:val="0"/>
          <w:bCs w:val="0"/>
          <w:color w:val="auto"/>
          <w:sz w:val="24"/>
          <w:szCs w:val="24"/>
        </w:rPr>
        <w:t>报。</w:t>
      </w:r>
    </w:p>
    <w:p w14:paraId="394F1F77">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第五条</w:t>
      </w:r>
      <w:r>
        <w:rPr>
          <w:rFonts w:hint="eastAsia" w:asciiTheme="minorEastAsia" w:hAnsiTheme="minorEastAsia" w:eastAsiaTheme="minorEastAsia" w:cstheme="minorEastAsia"/>
          <w:b w:val="0"/>
          <w:bCs w:val="0"/>
          <w:color w:val="auto"/>
          <w:sz w:val="24"/>
          <w:szCs w:val="24"/>
        </w:rPr>
        <w:t xml:space="preserve"> 年初由办公室汇总各科室提交的预算草案，根据财政局下达的预算指标合理规划后编制成预算报表，经局党组审核后上报</w:t>
      </w:r>
      <w:r>
        <w:rPr>
          <w:rFonts w:hint="eastAsia" w:asciiTheme="minorEastAsia" w:hAnsiTheme="minorEastAsia" w:eastAsiaTheme="minorEastAsia" w:cstheme="minorEastAsia"/>
          <w:b w:val="0"/>
          <w:bCs w:val="0"/>
          <w:color w:val="auto"/>
          <w:sz w:val="24"/>
          <w:szCs w:val="24"/>
          <w:lang w:eastAsia="zh-CN"/>
        </w:rPr>
        <w:t>。</w:t>
      </w:r>
    </w:p>
    <w:p w14:paraId="27FDED56">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 xml:space="preserve">第六条 </w:t>
      </w:r>
      <w:r>
        <w:rPr>
          <w:rFonts w:hint="eastAsia" w:asciiTheme="minorEastAsia" w:hAnsiTheme="minorEastAsia" w:eastAsiaTheme="minorEastAsia" w:cstheme="minorEastAsia"/>
          <w:b w:val="0"/>
          <w:bCs w:val="0"/>
          <w:color w:val="auto"/>
          <w:sz w:val="24"/>
          <w:szCs w:val="24"/>
        </w:rPr>
        <w:t>填报“人员经费”“公用经费”“三公经费”预算时应按照本单位的实际情况申请，年末按照实际发生额（没有超出预算）填报决算</w:t>
      </w:r>
      <w:r>
        <w:rPr>
          <w:rFonts w:hint="eastAsia" w:asciiTheme="minorEastAsia" w:hAnsiTheme="minorEastAsia" w:eastAsiaTheme="minorEastAsia" w:cstheme="minorEastAsia"/>
          <w:b w:val="0"/>
          <w:bCs w:val="0"/>
          <w:color w:val="auto"/>
          <w:sz w:val="24"/>
          <w:szCs w:val="24"/>
          <w:lang w:eastAsia="zh-CN"/>
        </w:rPr>
        <w:t>。</w:t>
      </w:r>
    </w:p>
    <w:p w14:paraId="4CB6FA73">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第七条</w:t>
      </w:r>
      <w:r>
        <w:rPr>
          <w:rFonts w:hint="eastAsia" w:asciiTheme="minorEastAsia" w:hAnsiTheme="minorEastAsia" w:eastAsiaTheme="minorEastAsia" w:cstheme="minorEastAsia"/>
          <w:b w:val="0"/>
          <w:bCs w:val="0"/>
          <w:color w:val="auto"/>
          <w:sz w:val="24"/>
          <w:szCs w:val="24"/>
        </w:rPr>
        <w:t xml:space="preserve"> 决算</w:t>
      </w:r>
      <w:r>
        <w:rPr>
          <w:rFonts w:hint="eastAsia" w:asciiTheme="minorEastAsia" w:hAnsiTheme="minorEastAsia" w:eastAsiaTheme="minorEastAsia" w:cstheme="minorEastAsia"/>
          <w:b w:val="0"/>
          <w:bCs w:val="0"/>
          <w:color w:val="auto"/>
          <w:sz w:val="24"/>
          <w:szCs w:val="24"/>
          <w:lang w:eastAsia="zh-CN"/>
        </w:rPr>
        <w:t>编</w:t>
      </w:r>
      <w:r>
        <w:rPr>
          <w:rFonts w:hint="eastAsia" w:asciiTheme="minorEastAsia" w:hAnsiTheme="minorEastAsia" w:eastAsiaTheme="minorEastAsia" w:cstheme="minorEastAsia"/>
          <w:b w:val="0"/>
          <w:bCs w:val="0"/>
          <w:color w:val="auto"/>
          <w:sz w:val="24"/>
          <w:szCs w:val="24"/>
        </w:rPr>
        <w:t>制要严格按照当年各科室的发生额填写，决算报表数据要真实、准确，要与会计账簿的相关数据一致。</w:t>
      </w:r>
    </w:p>
    <w:p w14:paraId="5E870896">
      <w:pPr>
        <w:keepNext w:val="0"/>
        <w:keepLines w:val="0"/>
        <w:pageBreakBefore w:val="0"/>
        <w:widowControl w:val="0"/>
        <w:kinsoku/>
        <w:wordWrap/>
        <w:overflowPunct/>
        <w:topLinePunct w:val="0"/>
        <w:bidi w:val="0"/>
        <w:snapToGrid/>
        <w:spacing w:line="580" w:lineRule="exact"/>
        <w:ind w:left="0" w:firstLine="480" w:firstLineChars="200"/>
        <w:jc w:val="both"/>
        <w:textAlignment w:val="auto"/>
        <w:rPr>
          <w:rStyle w:val="28"/>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第八条</w:t>
      </w:r>
      <w:r>
        <w:rPr>
          <w:rFonts w:hint="eastAsia" w:asciiTheme="minorEastAsia" w:hAnsiTheme="minorEastAsia" w:eastAsiaTheme="minorEastAsia" w:cstheme="minorEastAsia"/>
          <w:b w:val="0"/>
          <w:bCs w:val="0"/>
          <w:color w:val="auto"/>
          <w:sz w:val="24"/>
          <w:szCs w:val="24"/>
        </w:rPr>
        <w:t xml:space="preserve"> 协调、申请预算执行中超出预算金额（比如购买固定资产</w:t>
      </w:r>
      <w:r>
        <w:rPr>
          <w:rFonts w:hint="eastAsia" w:asciiTheme="minorEastAsia" w:hAnsiTheme="minorEastAsia" w:eastAsiaTheme="minorEastAsia" w:cstheme="minorEastAsia"/>
          <w:b w:val="0"/>
          <w:bCs w:val="0"/>
          <w:color w:val="auto"/>
          <w:sz w:val="24"/>
          <w:szCs w:val="24"/>
          <w:lang w:eastAsia="zh-CN"/>
        </w:rPr>
        <w:t>等</w:t>
      </w:r>
      <w:r>
        <w:rPr>
          <w:rFonts w:hint="eastAsia" w:asciiTheme="minorEastAsia" w:hAnsiTheme="minorEastAsia" w:eastAsiaTheme="minorEastAsia" w:cstheme="minorEastAsia"/>
          <w:b w:val="0"/>
          <w:bCs w:val="0"/>
          <w:color w:val="auto"/>
          <w:sz w:val="24"/>
          <w:szCs w:val="24"/>
        </w:rPr>
        <w:t>）并制定预算追加方案，年末写入决算。</w:t>
      </w:r>
    </w:p>
    <w:p w14:paraId="01E086CD">
      <w:pPr>
        <w:pStyle w:val="4"/>
        <w:keepNext w:val="0"/>
        <w:keepLines w:val="0"/>
        <w:pageBreakBefore w:val="0"/>
        <w:widowControl w:val="0"/>
        <w:kinsoku/>
        <w:wordWrap/>
        <w:overflowPunct/>
        <w:topLinePunct w:val="0"/>
        <w:bidi w:val="0"/>
        <w:snapToGrid/>
        <w:spacing w:after="0" w:line="580" w:lineRule="exact"/>
        <w:ind w:left="0" w:firstLine="1205" w:firstLineChars="5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第三章</w:t>
      </w:r>
      <w:bookmarkStart w:id="8" w:name="_Toc17091"/>
      <w:bookmarkStart w:id="9" w:name="_Toc8136"/>
      <w:bookmarkStart w:id="10" w:name="_Toc16623"/>
      <w:bookmarkStart w:id="11" w:name="_Toc1385"/>
      <w:bookmarkStart w:id="12" w:name="_Toc21645"/>
      <w:bookmarkStart w:id="13" w:name="_Toc30885"/>
      <w:r>
        <w:rPr>
          <w:rFonts w:hint="eastAsia" w:asciiTheme="minorEastAsia" w:hAnsiTheme="minorEastAsia" w:eastAsiaTheme="minorEastAsia" w:cstheme="minorEastAsia"/>
          <w:b/>
          <w:bCs/>
          <w:color w:val="auto"/>
          <w:kern w:val="2"/>
          <w:sz w:val="24"/>
          <w:szCs w:val="24"/>
          <w:lang w:val="en-US" w:eastAsia="zh-CN" w:bidi="ar-SA"/>
        </w:rPr>
        <w:t xml:space="preserve">  收入、</w:t>
      </w:r>
      <w:bookmarkEnd w:id="8"/>
      <w:bookmarkEnd w:id="9"/>
      <w:bookmarkEnd w:id="10"/>
      <w:bookmarkEnd w:id="11"/>
      <w:bookmarkEnd w:id="12"/>
      <w:bookmarkEnd w:id="13"/>
      <w:r>
        <w:rPr>
          <w:rFonts w:hint="eastAsia" w:asciiTheme="minorEastAsia" w:hAnsiTheme="minorEastAsia" w:eastAsiaTheme="minorEastAsia" w:cstheme="minorEastAsia"/>
          <w:b/>
          <w:bCs/>
          <w:color w:val="auto"/>
          <w:kern w:val="2"/>
          <w:sz w:val="24"/>
          <w:szCs w:val="24"/>
          <w:lang w:val="en-US" w:eastAsia="zh-CN" w:bidi="ar-SA"/>
        </w:rPr>
        <w:t>费用（支出）管理</w:t>
      </w:r>
    </w:p>
    <w:p w14:paraId="1CF5E2BD">
      <w:pPr>
        <w:keepNext w:val="0"/>
        <w:keepLines w:val="0"/>
        <w:pageBreakBefore w:val="0"/>
        <w:widowControl w:val="0"/>
        <w:kinsoku/>
        <w:wordWrap/>
        <w:overflowPunct/>
        <w:topLinePunct w:val="0"/>
        <w:autoSpaceDE w:val="0"/>
        <w:autoSpaceDN w:val="0"/>
        <w:bidi w:val="0"/>
        <w:adjustRightInd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 xml:space="preserve">第九条 </w:t>
      </w:r>
      <w:r>
        <w:rPr>
          <w:rFonts w:hint="eastAsia" w:asciiTheme="minorEastAsia" w:hAnsiTheme="minorEastAsia" w:eastAsiaTheme="minorEastAsia" w:cstheme="minorEastAsia"/>
          <w:b w:val="0"/>
          <w:bCs w:val="0"/>
          <w:color w:val="auto"/>
          <w:sz w:val="24"/>
          <w:szCs w:val="24"/>
        </w:rPr>
        <w:t>收入包括：财政补助收入、利息收入、工会会费和拨缴经费收入、党费收缴收入和其他收入</w:t>
      </w:r>
      <w:r>
        <w:rPr>
          <w:rFonts w:hint="eastAsia" w:asciiTheme="minorEastAsia" w:hAnsiTheme="minorEastAsia" w:eastAsiaTheme="minorEastAsia" w:cstheme="minorEastAsia"/>
          <w:b w:val="0"/>
          <w:bCs w:val="0"/>
          <w:color w:val="auto"/>
          <w:sz w:val="24"/>
          <w:szCs w:val="24"/>
          <w:lang w:eastAsia="zh-CN"/>
        </w:rPr>
        <w:t>。</w:t>
      </w:r>
    </w:p>
    <w:p w14:paraId="753ADC09">
      <w:pPr>
        <w:keepNext w:val="0"/>
        <w:keepLines w:val="0"/>
        <w:pageBreakBefore w:val="0"/>
        <w:kinsoku/>
        <w:wordWrap/>
        <w:overflowPunct/>
        <w:topLinePunct w:val="0"/>
        <w:autoSpaceDE w:val="0"/>
        <w:autoSpaceDN w:val="0"/>
        <w:bidi w:val="0"/>
        <w:adjustRightInd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第十条</w:t>
      </w:r>
      <w:r>
        <w:rPr>
          <w:rFonts w:hint="eastAsia" w:asciiTheme="minorEastAsia" w:hAnsiTheme="minorEastAsia" w:eastAsiaTheme="minorEastAsia" w:cstheme="minorEastAsia"/>
          <w:b w:val="0"/>
          <w:bCs w:val="0"/>
          <w:color w:val="auto"/>
          <w:sz w:val="24"/>
          <w:szCs w:val="24"/>
        </w:rPr>
        <w:t xml:space="preserve"> 各项收入的取得应符合国家规定。按照财务制度的规定及时入账和上缴，不准虚列、隐瞒、截留、挪用和坐支，不得私设小金库。</w:t>
      </w:r>
    </w:p>
    <w:p w14:paraId="2B6789DB">
      <w:pPr>
        <w:keepNext w:val="0"/>
        <w:keepLines w:val="0"/>
        <w:pageBreakBefore w:val="0"/>
        <w:kinsoku/>
        <w:wordWrap/>
        <w:overflowPunct/>
        <w:topLinePunct w:val="0"/>
        <w:autoSpaceDE w:val="0"/>
        <w:autoSpaceDN w:val="0"/>
        <w:bidi w:val="0"/>
        <w:adjustRightInd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第十一条 </w:t>
      </w:r>
      <w:r>
        <w:rPr>
          <w:rFonts w:hint="eastAsia" w:asciiTheme="minorEastAsia" w:hAnsiTheme="minorEastAsia" w:eastAsiaTheme="minorEastAsia" w:cstheme="minorEastAsia"/>
          <w:b w:val="0"/>
          <w:bCs w:val="0"/>
          <w:color w:val="auto"/>
          <w:sz w:val="24"/>
          <w:szCs w:val="24"/>
        </w:rPr>
        <w:t>费用（支出）包括：一般公用支出、人员支出、工会职工教育、文体宣传活动和福利支出，党员教育培训、困难补助支出和其他支出。</w:t>
      </w:r>
    </w:p>
    <w:p w14:paraId="1555385B">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第十二条</w:t>
      </w:r>
      <w:r>
        <w:rPr>
          <w:rFonts w:hint="eastAsia" w:asciiTheme="minorEastAsia" w:hAnsiTheme="minorEastAsia" w:eastAsiaTheme="minorEastAsia" w:cstheme="minorEastAsia"/>
          <w:b w:val="0"/>
          <w:bCs w:val="0"/>
          <w:color w:val="auto"/>
          <w:sz w:val="24"/>
          <w:szCs w:val="24"/>
        </w:rPr>
        <w:t xml:space="preserve"> 费用（支出）流程：经手人签字-科室负责人审核-财务审核</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分管局长审批-局长</w:t>
      </w:r>
      <w:r>
        <w:rPr>
          <w:rFonts w:hint="eastAsia" w:asciiTheme="minorEastAsia" w:hAnsiTheme="minorEastAsia" w:eastAsiaTheme="minorEastAsia" w:cstheme="minorEastAsia"/>
          <w:b w:val="0"/>
          <w:bCs w:val="0"/>
          <w:color w:val="auto"/>
          <w:sz w:val="24"/>
          <w:szCs w:val="24"/>
          <w:lang w:eastAsia="zh-CN"/>
        </w:rPr>
        <w:t>签字</w:t>
      </w:r>
      <w:r>
        <w:rPr>
          <w:rFonts w:hint="eastAsia" w:asciiTheme="minorEastAsia" w:hAnsiTheme="minorEastAsia" w:eastAsiaTheme="minorEastAsia" w:cstheme="minorEastAsia"/>
          <w:b w:val="0"/>
          <w:bCs w:val="0"/>
          <w:color w:val="auto"/>
          <w:sz w:val="24"/>
          <w:szCs w:val="24"/>
        </w:rPr>
        <w:t xml:space="preserve">。（双方签订合同的需附复印件） </w:t>
      </w:r>
    </w:p>
    <w:p w14:paraId="2B9E842A">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第十三条</w:t>
      </w:r>
      <w:r>
        <w:rPr>
          <w:rFonts w:hint="eastAsia" w:asciiTheme="minorEastAsia" w:hAnsiTheme="minorEastAsia" w:eastAsiaTheme="minorEastAsia" w:cstheme="minorEastAsia"/>
          <w:b w:val="0"/>
          <w:bCs w:val="0"/>
          <w:color w:val="auto"/>
          <w:sz w:val="24"/>
          <w:szCs w:val="24"/>
        </w:rPr>
        <w:t xml:space="preserve"> 任何费用</w:t>
      </w:r>
      <w:r>
        <w:rPr>
          <w:rFonts w:hint="eastAsia" w:asciiTheme="minorEastAsia" w:hAnsiTheme="minorEastAsia" w:eastAsiaTheme="minorEastAsia" w:cstheme="minorEastAsia"/>
          <w:b w:val="0"/>
          <w:bCs w:val="0"/>
          <w:color w:val="auto"/>
          <w:sz w:val="24"/>
          <w:szCs w:val="24"/>
          <w:lang w:eastAsia="zh-CN"/>
        </w:rPr>
        <w:t>（支出）</w:t>
      </w:r>
      <w:r>
        <w:rPr>
          <w:rFonts w:hint="eastAsia" w:asciiTheme="minorEastAsia" w:hAnsiTheme="minorEastAsia" w:eastAsiaTheme="minorEastAsia" w:cstheme="minorEastAsia"/>
          <w:b w:val="0"/>
          <w:bCs w:val="0"/>
          <w:color w:val="auto"/>
          <w:sz w:val="24"/>
          <w:szCs w:val="24"/>
        </w:rPr>
        <w:t>各分管局长要严格把关,严禁先斩后奏、超支、透支现象发生。</w:t>
      </w:r>
    </w:p>
    <w:p w14:paraId="05D24196">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费用（支出）必须提供真实、合法、有效、内容完整的原始</w:t>
      </w:r>
      <w:r>
        <w:rPr>
          <w:rFonts w:hint="eastAsia" w:asciiTheme="minorEastAsia" w:hAnsiTheme="minorEastAsia" w:eastAsiaTheme="minorEastAsia" w:cstheme="minorEastAsia"/>
          <w:b w:val="0"/>
          <w:bCs w:val="0"/>
          <w:color w:val="auto"/>
          <w:sz w:val="24"/>
          <w:szCs w:val="24"/>
          <w:lang w:eastAsia="zh-CN"/>
        </w:rPr>
        <w:t>票据</w:t>
      </w:r>
      <w:r>
        <w:rPr>
          <w:rFonts w:hint="eastAsia" w:asciiTheme="minorEastAsia" w:hAnsiTheme="minorEastAsia" w:eastAsiaTheme="minorEastAsia" w:cstheme="minorEastAsia"/>
          <w:b w:val="0"/>
          <w:bCs w:val="0"/>
          <w:color w:val="auto"/>
          <w:sz w:val="24"/>
          <w:szCs w:val="24"/>
        </w:rPr>
        <w:t>，并根据不同的支出内容，填写对应的报销凭证费用报销单、《公出申请单》</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差旅费报销单</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等，经办人填写报销凭证时，字迹清晰工整，不得涂改。</w:t>
      </w:r>
    </w:p>
    <w:p w14:paraId="301C8F92">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第十五条</w:t>
      </w:r>
      <w:r>
        <w:rPr>
          <w:rFonts w:hint="eastAsia" w:asciiTheme="minorEastAsia" w:hAnsiTheme="minorEastAsia" w:eastAsiaTheme="minorEastAsia" w:cstheme="minorEastAsia"/>
          <w:b w:val="0"/>
          <w:bCs w:val="0"/>
          <w:color w:val="auto"/>
          <w:sz w:val="24"/>
          <w:szCs w:val="24"/>
        </w:rPr>
        <w:t xml:space="preserve"> 专项经费应先审批支出计划，然后按计划列支，必须专款专用，不得挪用、挤占或改变用途性质，并实行单独核算。</w:t>
      </w:r>
    </w:p>
    <w:p w14:paraId="38247B13">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第十六条</w:t>
      </w:r>
      <w:r>
        <w:rPr>
          <w:rFonts w:hint="eastAsia" w:asciiTheme="minorEastAsia" w:hAnsiTheme="minorEastAsia" w:eastAsiaTheme="minorEastAsia" w:cstheme="minorEastAsia"/>
          <w:b w:val="0"/>
          <w:bCs w:val="0"/>
          <w:color w:val="auto"/>
          <w:sz w:val="24"/>
          <w:szCs w:val="24"/>
        </w:rPr>
        <w:t xml:space="preserve"> 公务活动需要借款时，借款人应填写借款单，写明借款理由，</w:t>
      </w:r>
      <w:r>
        <w:rPr>
          <w:rFonts w:hint="eastAsia" w:asciiTheme="minorEastAsia" w:hAnsiTheme="minorEastAsia" w:eastAsiaTheme="minorEastAsia" w:cstheme="minorEastAsia"/>
          <w:b w:val="0"/>
          <w:bCs w:val="0"/>
          <w:color w:val="auto"/>
          <w:sz w:val="24"/>
          <w:szCs w:val="24"/>
          <w:lang w:eastAsia="zh-CN"/>
        </w:rPr>
        <w:t>原则上不预支</w:t>
      </w:r>
      <w:r>
        <w:rPr>
          <w:rFonts w:hint="eastAsia" w:asciiTheme="minorEastAsia" w:hAnsiTheme="minorEastAsia" w:eastAsiaTheme="minorEastAsia" w:cstheme="minorEastAsia"/>
          <w:b w:val="0"/>
          <w:bCs w:val="0"/>
          <w:color w:val="auto"/>
          <w:sz w:val="24"/>
          <w:szCs w:val="24"/>
        </w:rPr>
        <w:t>出差借款。报账时，发生的费用应与借款的理由、去向相符，否则不</w:t>
      </w:r>
      <w:r>
        <w:rPr>
          <w:rFonts w:hint="eastAsia" w:asciiTheme="minorEastAsia" w:hAnsiTheme="minorEastAsia" w:eastAsiaTheme="minorEastAsia" w:cstheme="minorEastAsia"/>
          <w:b w:val="0"/>
          <w:bCs w:val="0"/>
          <w:color w:val="auto"/>
          <w:sz w:val="24"/>
          <w:szCs w:val="24"/>
          <w:lang w:eastAsia="zh-CN"/>
        </w:rPr>
        <w:t>予</w:t>
      </w:r>
      <w:r>
        <w:rPr>
          <w:rFonts w:hint="eastAsia" w:asciiTheme="minorEastAsia" w:hAnsiTheme="minorEastAsia" w:eastAsiaTheme="minorEastAsia" w:cstheme="minorEastAsia"/>
          <w:b w:val="0"/>
          <w:bCs w:val="0"/>
          <w:color w:val="auto"/>
          <w:sz w:val="24"/>
          <w:szCs w:val="24"/>
        </w:rPr>
        <w:t>报销，报销票据原则上不跨年度。</w:t>
      </w:r>
    </w:p>
    <w:p w14:paraId="343E39ED">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第十七条</w:t>
      </w:r>
      <w:r>
        <w:rPr>
          <w:rFonts w:hint="eastAsia" w:asciiTheme="minorEastAsia" w:hAnsiTheme="minorEastAsia" w:eastAsiaTheme="minorEastAsia" w:cstheme="minorEastAsia"/>
          <w:b w:val="0"/>
          <w:bCs w:val="0"/>
          <w:color w:val="auto"/>
          <w:sz w:val="24"/>
          <w:szCs w:val="24"/>
        </w:rPr>
        <w:t xml:space="preserve"> 超出1000元现金的日常</w:t>
      </w:r>
      <w:r>
        <w:rPr>
          <w:rFonts w:hint="eastAsia" w:asciiTheme="minorEastAsia" w:hAnsiTheme="minorEastAsia" w:eastAsiaTheme="minorEastAsia" w:cstheme="minorEastAsia"/>
          <w:b w:val="0"/>
          <w:bCs w:val="0"/>
          <w:color w:val="auto"/>
          <w:sz w:val="24"/>
          <w:szCs w:val="24"/>
          <w:lang w:eastAsia="zh-CN"/>
        </w:rPr>
        <w:t>费用（</w:t>
      </w:r>
      <w:r>
        <w:rPr>
          <w:rFonts w:hint="eastAsia" w:asciiTheme="minorEastAsia" w:hAnsiTheme="minorEastAsia" w:eastAsiaTheme="minorEastAsia" w:cstheme="minorEastAsia"/>
          <w:b w:val="0"/>
          <w:bCs w:val="0"/>
          <w:color w:val="auto"/>
          <w:sz w:val="24"/>
          <w:szCs w:val="24"/>
        </w:rPr>
        <w:t>支出</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必须办理转账业务。</w:t>
      </w:r>
    </w:p>
    <w:p w14:paraId="33E670EF">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第十八条 </w:t>
      </w:r>
      <w:r>
        <w:rPr>
          <w:rFonts w:hint="eastAsia" w:asciiTheme="minorEastAsia" w:hAnsiTheme="minorEastAsia" w:eastAsiaTheme="minorEastAsia" w:cstheme="minorEastAsia"/>
          <w:b w:val="0"/>
          <w:bCs w:val="0"/>
          <w:color w:val="auto"/>
          <w:sz w:val="24"/>
          <w:szCs w:val="24"/>
        </w:rPr>
        <w:t>差旅费中城市间交通费、住宿费、伙食补助和市内交通费标准参照《吉林省省直机关差旅费管理办法》《吉林省财政厅关于规范差旅伙食费和市内交通费收交管理有关事项的通知</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执行。外出开会、学习、培训</w:t>
      </w:r>
      <w:r>
        <w:rPr>
          <w:rFonts w:hint="eastAsia" w:asciiTheme="minorEastAsia" w:hAnsiTheme="minorEastAsia" w:eastAsiaTheme="minorEastAsia" w:cstheme="minorEastAsia"/>
          <w:b w:val="0"/>
          <w:bCs w:val="0"/>
          <w:color w:val="auto"/>
          <w:sz w:val="24"/>
          <w:szCs w:val="24"/>
          <w:lang w:eastAsia="zh-CN"/>
        </w:rPr>
        <w:t>必须</w:t>
      </w:r>
      <w:r>
        <w:rPr>
          <w:rFonts w:hint="eastAsia" w:asciiTheme="minorEastAsia" w:hAnsiTheme="minorEastAsia" w:eastAsiaTheme="minorEastAsia" w:cstheme="minorEastAsia"/>
          <w:b w:val="0"/>
          <w:bCs w:val="0"/>
          <w:color w:val="auto"/>
          <w:sz w:val="24"/>
          <w:szCs w:val="24"/>
        </w:rPr>
        <w:t>附相关文件</w:t>
      </w:r>
      <w:r>
        <w:rPr>
          <w:rFonts w:hint="eastAsia" w:asciiTheme="minorEastAsia" w:hAnsiTheme="minorEastAsia" w:eastAsiaTheme="minorEastAsia" w:cstheme="minorEastAsia"/>
          <w:b w:val="0"/>
          <w:bCs w:val="0"/>
          <w:color w:val="auto"/>
          <w:sz w:val="24"/>
          <w:szCs w:val="24"/>
          <w:lang w:eastAsia="zh-CN"/>
        </w:rPr>
        <w:t>，填写</w:t>
      </w:r>
      <w:r>
        <w:rPr>
          <w:rFonts w:hint="eastAsia" w:asciiTheme="minorEastAsia" w:hAnsiTheme="minorEastAsia" w:eastAsiaTheme="minorEastAsia" w:cstheme="minorEastAsia"/>
          <w:b w:val="0"/>
          <w:bCs w:val="0"/>
          <w:color w:val="auto"/>
          <w:sz w:val="24"/>
          <w:szCs w:val="24"/>
        </w:rPr>
        <w:t>《公出申请单》《差旅费报销单》，一次一结。超范围、超标准开支的费用</w:t>
      </w:r>
      <w:r>
        <w:rPr>
          <w:rFonts w:hint="eastAsia" w:asciiTheme="minorEastAsia" w:hAnsiTheme="minorEastAsia" w:eastAsiaTheme="minorEastAsia" w:cstheme="minorEastAsia"/>
          <w:b w:val="0"/>
          <w:bCs w:val="0"/>
          <w:color w:val="auto"/>
          <w:sz w:val="24"/>
          <w:szCs w:val="24"/>
          <w:lang w:eastAsia="zh-CN"/>
        </w:rPr>
        <w:t>（支出）</w:t>
      </w:r>
      <w:r>
        <w:rPr>
          <w:rFonts w:hint="eastAsia" w:asciiTheme="minorEastAsia" w:hAnsiTheme="minorEastAsia" w:eastAsiaTheme="minorEastAsia" w:cstheme="minorEastAsia"/>
          <w:b w:val="0"/>
          <w:bCs w:val="0"/>
          <w:color w:val="auto"/>
          <w:sz w:val="24"/>
          <w:szCs w:val="24"/>
        </w:rPr>
        <w:t>不予报销。</w:t>
      </w:r>
    </w:p>
    <w:p w14:paraId="0946C972">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第十九条</w:t>
      </w:r>
      <w:r>
        <w:rPr>
          <w:rFonts w:hint="eastAsia" w:asciiTheme="minorEastAsia" w:hAnsiTheme="minorEastAsia" w:eastAsiaTheme="minorEastAsia" w:cstheme="minorEastAsia"/>
          <w:b w:val="0"/>
          <w:bCs w:val="0"/>
          <w:color w:val="auto"/>
          <w:sz w:val="24"/>
          <w:szCs w:val="24"/>
        </w:rPr>
        <w:t xml:space="preserve"> 接待费(会议费)必须有对方公函(承办文件)、接待方案、正规发票、接待清单，不得超出标准安排。</w:t>
      </w:r>
    </w:p>
    <w:p w14:paraId="34D2CBF6">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Style w:val="28"/>
          <w:rFonts w:hint="eastAsia" w:asciiTheme="minorEastAsia" w:hAnsiTheme="minorEastAsia" w:eastAsiaTheme="minorEastAsia" w:cstheme="minorEastAsia"/>
          <w:b w:val="0"/>
          <w:bCs w:val="0"/>
          <w:color w:val="auto"/>
          <w:sz w:val="24"/>
          <w:szCs w:val="24"/>
          <w:lang w:val="en-US" w:eastAsia="zh-CN" w:bidi="ar-SA"/>
        </w:rPr>
        <w:t>第二十条</w:t>
      </w:r>
      <w:r>
        <w:rPr>
          <w:rFonts w:hint="eastAsia" w:asciiTheme="minorEastAsia" w:hAnsiTheme="minorEastAsia" w:eastAsiaTheme="minorEastAsia" w:cstheme="minorEastAsia"/>
          <w:b w:val="0"/>
          <w:bCs w:val="0"/>
          <w:color w:val="auto"/>
          <w:sz w:val="24"/>
          <w:szCs w:val="24"/>
        </w:rPr>
        <w:t xml:space="preserve"> 办公用品采购和维修，</w:t>
      </w:r>
      <w:r>
        <w:rPr>
          <w:rFonts w:hint="eastAsia" w:asciiTheme="minorEastAsia" w:hAnsiTheme="minorEastAsia" w:eastAsiaTheme="minorEastAsia" w:cstheme="minorEastAsia"/>
          <w:b w:val="0"/>
          <w:bCs w:val="0"/>
          <w:color w:val="auto"/>
          <w:sz w:val="24"/>
          <w:szCs w:val="24"/>
          <w:lang w:eastAsia="zh-CN"/>
        </w:rPr>
        <w:t>申请人先</w:t>
      </w:r>
      <w:r>
        <w:rPr>
          <w:rFonts w:hint="eastAsia" w:asciiTheme="minorEastAsia" w:hAnsiTheme="minorEastAsia" w:eastAsiaTheme="minorEastAsia" w:cstheme="minorEastAsia"/>
          <w:b w:val="0"/>
          <w:bCs w:val="0"/>
          <w:color w:val="auto"/>
          <w:sz w:val="24"/>
          <w:szCs w:val="24"/>
        </w:rPr>
        <w:t>填写《物品采购申请表》和《维修申请表》</w:t>
      </w:r>
      <w:r>
        <w:rPr>
          <w:rFonts w:hint="eastAsia" w:asciiTheme="minorEastAsia" w:hAnsiTheme="minorEastAsia" w:eastAsiaTheme="minorEastAsia" w:cstheme="minorEastAsia"/>
          <w:b w:val="0"/>
          <w:bCs w:val="0"/>
          <w:color w:val="auto"/>
          <w:sz w:val="24"/>
          <w:szCs w:val="24"/>
          <w:lang w:eastAsia="zh-CN"/>
        </w:rPr>
        <w:t>，由分管财务局长审批后进行采购和维修。</w:t>
      </w:r>
    </w:p>
    <w:p w14:paraId="69289DA4">
      <w:pPr>
        <w:keepNext w:val="0"/>
        <w:keepLines w:val="0"/>
        <w:pageBreakBefore w:val="0"/>
        <w:kinsoku/>
        <w:wordWrap/>
        <w:overflowPunct/>
        <w:topLinePunct w:val="0"/>
        <w:bidi w:val="0"/>
        <w:snapToGrid/>
        <w:spacing w:line="580" w:lineRule="exact"/>
        <w:ind w:left="0" w:firstLine="480" w:firstLineChars="200"/>
        <w:jc w:val="both"/>
        <w:textAlignment w:val="auto"/>
        <w:rPr>
          <w:rStyle w:val="28"/>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第二十一条  </w:t>
      </w:r>
      <w:r>
        <w:rPr>
          <w:rFonts w:hint="eastAsia" w:asciiTheme="minorEastAsia" w:hAnsiTheme="minorEastAsia" w:eastAsiaTheme="minorEastAsia" w:cstheme="minorEastAsia"/>
          <w:b w:val="0"/>
          <w:bCs w:val="0"/>
          <w:color w:val="auto"/>
          <w:sz w:val="24"/>
          <w:szCs w:val="24"/>
          <w:lang w:eastAsia="zh-CN"/>
        </w:rPr>
        <w:t>工会、党费专户费用（支出）流程和经费费用（支出）流程一致。</w:t>
      </w:r>
    </w:p>
    <w:p w14:paraId="2FBC4700">
      <w:pPr>
        <w:pStyle w:val="4"/>
        <w:keepNext w:val="0"/>
        <w:keepLines w:val="0"/>
        <w:pageBreakBefore w:val="0"/>
        <w:kinsoku/>
        <w:wordWrap/>
        <w:overflowPunct/>
        <w:topLinePunct w:val="0"/>
        <w:bidi w:val="0"/>
        <w:snapToGrid/>
        <w:spacing w:after="0" w:line="580" w:lineRule="exact"/>
        <w:ind w:left="0" w:firstLine="1928" w:firstLineChars="8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第四章  固定资产管理</w:t>
      </w:r>
    </w:p>
    <w:p w14:paraId="450474DC">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第二十二条</w:t>
      </w:r>
      <w:r>
        <w:rPr>
          <w:rFonts w:hint="eastAsia" w:asciiTheme="minorEastAsia" w:hAnsiTheme="minorEastAsia" w:eastAsiaTheme="minorEastAsia" w:cstheme="minorEastAsia"/>
          <w:b w:val="0"/>
          <w:bCs w:val="0"/>
          <w:color w:val="auto"/>
          <w:sz w:val="24"/>
          <w:szCs w:val="24"/>
        </w:rPr>
        <w:t xml:space="preserve"> 固定资产指使用年限超过1年（不含1年）、单位价值在规定标准以上（其中：一般设备价值在1000元以上，专用设备价值在1500元以上），并在使用过程中基本保持原有物质形态的资产。固定资产一般分为6类：房屋及构筑物；专用设备；通用设备；文物和陈列品；图书、档案；家具、用具、装具及动植物。</w:t>
      </w:r>
    </w:p>
    <w:p w14:paraId="42FE4868">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第二十三条</w:t>
      </w:r>
      <w:r>
        <w:rPr>
          <w:rFonts w:hint="eastAsia" w:asciiTheme="minorEastAsia" w:hAnsiTheme="minorEastAsia" w:eastAsiaTheme="minorEastAsia" w:cstheme="minorEastAsia"/>
          <w:b w:val="0"/>
          <w:bCs w:val="0"/>
          <w:color w:val="auto"/>
          <w:sz w:val="24"/>
          <w:szCs w:val="24"/>
        </w:rPr>
        <w:t xml:space="preserve"> 严格划分固定资产管理责任。办公室负责管理局机关固定资产购置、监管和处置，局属</w:t>
      </w:r>
      <w:r>
        <w:rPr>
          <w:rFonts w:hint="eastAsia" w:asciiTheme="minorEastAsia" w:hAnsiTheme="minorEastAsia" w:eastAsiaTheme="minorEastAsia" w:cstheme="minorEastAsia"/>
          <w:b w:val="0"/>
          <w:bCs w:val="0"/>
          <w:color w:val="auto"/>
          <w:sz w:val="24"/>
          <w:szCs w:val="24"/>
          <w:lang w:eastAsia="zh-CN"/>
        </w:rPr>
        <w:t>直属</w:t>
      </w:r>
      <w:r>
        <w:rPr>
          <w:rFonts w:hint="eastAsia" w:asciiTheme="minorEastAsia" w:hAnsiTheme="minorEastAsia" w:eastAsiaTheme="minorEastAsia" w:cstheme="minorEastAsia"/>
          <w:b w:val="0"/>
          <w:bCs w:val="0"/>
          <w:color w:val="auto"/>
          <w:sz w:val="24"/>
          <w:szCs w:val="24"/>
        </w:rPr>
        <w:t>单位的固定资产由</w:t>
      </w:r>
      <w:r>
        <w:rPr>
          <w:rFonts w:hint="eastAsia" w:asciiTheme="minorEastAsia" w:hAnsiTheme="minorEastAsia" w:eastAsiaTheme="minorEastAsia" w:cstheme="minorEastAsia"/>
          <w:b w:val="0"/>
          <w:bCs w:val="0"/>
          <w:color w:val="auto"/>
          <w:sz w:val="24"/>
          <w:szCs w:val="24"/>
          <w:lang w:eastAsia="zh-CN"/>
        </w:rPr>
        <w:t>直属</w:t>
      </w:r>
      <w:r>
        <w:rPr>
          <w:rFonts w:hint="eastAsia" w:asciiTheme="minorEastAsia" w:hAnsiTheme="minorEastAsia" w:eastAsiaTheme="minorEastAsia" w:cstheme="minorEastAsia"/>
          <w:b w:val="0"/>
          <w:bCs w:val="0"/>
          <w:color w:val="auto"/>
          <w:sz w:val="24"/>
          <w:szCs w:val="24"/>
        </w:rPr>
        <w:t>单位自行管理。</w:t>
      </w:r>
    </w:p>
    <w:p w14:paraId="366FB87B">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第二十四条</w:t>
      </w:r>
      <w:r>
        <w:rPr>
          <w:rFonts w:hint="eastAsia" w:asciiTheme="minorEastAsia" w:hAnsiTheme="minorEastAsia" w:eastAsiaTheme="minorEastAsia" w:cstheme="minorEastAsia"/>
          <w:b w:val="0"/>
          <w:bCs w:val="0"/>
          <w:color w:val="auto"/>
          <w:sz w:val="24"/>
          <w:szCs w:val="24"/>
        </w:rPr>
        <w:t xml:space="preserve"> 固定资产配置标准参照白城市机关事务管理局《关于国有资产购置审批程序的通知》《白城市市直行政事业单位通用办公设备家具配置标准》执行。</w:t>
      </w:r>
    </w:p>
    <w:p w14:paraId="1AEE91C2">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第二十五条 </w:t>
      </w:r>
      <w:r>
        <w:rPr>
          <w:rFonts w:hint="eastAsia" w:asciiTheme="minorEastAsia" w:hAnsiTheme="minorEastAsia" w:eastAsiaTheme="minorEastAsia" w:cstheme="minorEastAsia"/>
          <w:b w:val="0"/>
          <w:bCs w:val="0"/>
          <w:color w:val="auto"/>
          <w:sz w:val="24"/>
          <w:szCs w:val="24"/>
        </w:rPr>
        <w:t xml:space="preserve"> 严格履行资产报废审批程序，对于单项资产已经达到使用年限，且不能继续使用的资产，由使用科室提出申请，办公室根据资产实际状况审核后，报财政局审批。</w:t>
      </w:r>
    </w:p>
    <w:p w14:paraId="2A66CAE5">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第二十六条</w:t>
      </w:r>
      <w:r>
        <w:rPr>
          <w:rFonts w:hint="eastAsia" w:asciiTheme="minorEastAsia" w:hAnsiTheme="minorEastAsia" w:eastAsiaTheme="minorEastAsia" w:cstheme="minorEastAsia"/>
          <w:b w:val="0"/>
          <w:bCs w:val="0"/>
          <w:color w:val="auto"/>
          <w:sz w:val="24"/>
          <w:szCs w:val="24"/>
        </w:rPr>
        <w:t xml:space="preserve"> 办公室每年对各科室固定资产进行一次全面清查盘点，发现问题及时处理，确保账卡、账物、账实相符。</w:t>
      </w:r>
    </w:p>
    <w:p w14:paraId="082DCECF">
      <w:pPr>
        <w:keepNext w:val="0"/>
        <w:keepLines w:val="0"/>
        <w:pageBreakBefore w:val="0"/>
        <w:kinsoku/>
        <w:wordWrap/>
        <w:overflowPunct/>
        <w:topLinePunct w:val="0"/>
        <w:bidi w:val="0"/>
        <w:snapToGrid/>
        <w:spacing w:line="580" w:lineRule="exact"/>
        <w:ind w:left="0" w:firstLine="480" w:firstLineChars="200"/>
        <w:jc w:val="both"/>
        <w:textAlignment w:val="auto"/>
        <w:rPr>
          <w:rStyle w:val="28"/>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第二十七条 </w:t>
      </w:r>
      <w:r>
        <w:rPr>
          <w:rFonts w:hint="eastAsia" w:asciiTheme="minorEastAsia" w:hAnsiTheme="minorEastAsia" w:eastAsiaTheme="minorEastAsia" w:cstheme="minorEastAsia"/>
          <w:b w:val="0"/>
          <w:bCs w:val="0"/>
          <w:color w:val="auto"/>
          <w:sz w:val="24"/>
          <w:szCs w:val="24"/>
        </w:rPr>
        <w:t>购置纳入政府采购范围的资产，依法实施政府采购。</w:t>
      </w:r>
    </w:p>
    <w:p w14:paraId="49B09946">
      <w:pPr>
        <w:pStyle w:val="4"/>
        <w:keepNext w:val="0"/>
        <w:keepLines w:val="0"/>
        <w:pageBreakBefore w:val="0"/>
        <w:kinsoku/>
        <w:wordWrap/>
        <w:overflowPunct/>
        <w:topLinePunct w:val="0"/>
        <w:bidi w:val="0"/>
        <w:snapToGrid/>
        <w:spacing w:after="0" w:line="580" w:lineRule="exact"/>
        <w:ind w:left="0" w:firstLine="1928" w:firstLineChars="8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第五章  往来款项管理</w:t>
      </w:r>
    </w:p>
    <w:p w14:paraId="2E0960E0">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第二十八条 </w:t>
      </w:r>
      <w:r>
        <w:rPr>
          <w:rFonts w:hint="eastAsia" w:asciiTheme="minorEastAsia" w:hAnsiTheme="minorEastAsia" w:eastAsiaTheme="minorEastAsia" w:cstheme="minorEastAsia"/>
          <w:b w:val="0"/>
          <w:bCs w:val="0"/>
          <w:color w:val="auto"/>
          <w:sz w:val="24"/>
          <w:szCs w:val="24"/>
        </w:rPr>
        <w:t>往来款项是指应收及预付款项和应付</w:t>
      </w:r>
      <w:r>
        <w:rPr>
          <w:rFonts w:hint="eastAsia" w:asciiTheme="minorEastAsia" w:hAnsiTheme="minorEastAsia" w:eastAsiaTheme="minorEastAsia" w:cstheme="minorEastAsia"/>
          <w:b w:val="0"/>
          <w:bCs w:val="0"/>
          <w:color w:val="auto"/>
          <w:sz w:val="24"/>
          <w:szCs w:val="24"/>
          <w:lang w:eastAsia="zh-CN"/>
        </w:rPr>
        <w:t>及</w:t>
      </w:r>
      <w:r>
        <w:rPr>
          <w:rFonts w:hint="eastAsia" w:asciiTheme="minorEastAsia" w:hAnsiTheme="minorEastAsia" w:eastAsiaTheme="minorEastAsia" w:cstheme="minorEastAsia"/>
          <w:b w:val="0"/>
          <w:bCs w:val="0"/>
          <w:color w:val="auto"/>
          <w:sz w:val="24"/>
          <w:szCs w:val="24"/>
        </w:rPr>
        <w:t>预收款项。</w:t>
      </w:r>
    </w:p>
    <w:p w14:paraId="2BE4EE51">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第二十九条 </w:t>
      </w:r>
      <w:r>
        <w:rPr>
          <w:rFonts w:hint="eastAsia" w:asciiTheme="minorEastAsia" w:hAnsiTheme="minorEastAsia" w:eastAsiaTheme="minorEastAsia" w:cstheme="minorEastAsia"/>
          <w:b w:val="0"/>
          <w:bCs w:val="0"/>
          <w:color w:val="auto"/>
          <w:sz w:val="24"/>
          <w:szCs w:val="24"/>
        </w:rPr>
        <w:t>应收及预付款项是指本单位在开展业务活动中形成的各项债权。应收款项包括财政应返还额度、应收账款、应收利息等；预付款项是指本单位按照合同规定预付款项。</w:t>
      </w:r>
    </w:p>
    <w:p w14:paraId="363B010F">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第三十条 </w:t>
      </w:r>
      <w:r>
        <w:rPr>
          <w:rFonts w:hint="eastAsia" w:asciiTheme="minorEastAsia" w:hAnsiTheme="minorEastAsia" w:eastAsiaTheme="minorEastAsia" w:cstheme="minorEastAsia"/>
          <w:b w:val="0"/>
          <w:bCs w:val="0"/>
          <w:color w:val="auto"/>
          <w:sz w:val="24"/>
          <w:szCs w:val="24"/>
          <w:lang w:val="en-US" w:eastAsia="zh-CN"/>
        </w:rPr>
        <w:t>应付及预收款项是购买材料、商品和接受劳务供应等经营活动应支付的款项。应付款项包括其他应交税费、应缴财政款；预收账款是双方按照合同约定，向购买单位或接受劳务的单位在未发出商品或提供劳务时预收的款项。</w:t>
      </w:r>
    </w:p>
    <w:p w14:paraId="4B0829AB">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第三十一条 </w:t>
      </w:r>
      <w:r>
        <w:rPr>
          <w:rFonts w:hint="eastAsia" w:asciiTheme="minorEastAsia" w:hAnsiTheme="minorEastAsia" w:eastAsiaTheme="minorEastAsia" w:cstheme="minorEastAsia"/>
          <w:b w:val="0"/>
          <w:bCs w:val="0"/>
          <w:color w:val="auto"/>
          <w:sz w:val="24"/>
          <w:szCs w:val="24"/>
        </w:rPr>
        <w:t>大额借款和偿还属于重大经济事项，应由</w:t>
      </w:r>
      <w:r>
        <w:rPr>
          <w:rFonts w:hint="eastAsia" w:asciiTheme="minorEastAsia" w:hAnsiTheme="minorEastAsia" w:eastAsiaTheme="minorEastAsia" w:cstheme="minorEastAsia"/>
          <w:b w:val="0"/>
          <w:bCs w:val="0"/>
          <w:color w:val="auto"/>
          <w:sz w:val="24"/>
          <w:szCs w:val="24"/>
          <w:lang w:eastAsia="zh-CN"/>
        </w:rPr>
        <w:t>局党组会议</w:t>
      </w:r>
      <w:r>
        <w:rPr>
          <w:rFonts w:hint="eastAsia" w:asciiTheme="minorEastAsia" w:hAnsiTheme="minorEastAsia" w:eastAsiaTheme="minorEastAsia" w:cstheme="minorEastAsia"/>
          <w:b w:val="0"/>
          <w:bCs w:val="0"/>
          <w:color w:val="auto"/>
          <w:sz w:val="24"/>
          <w:szCs w:val="24"/>
        </w:rPr>
        <w:t>研究决定。</w:t>
      </w:r>
    </w:p>
    <w:p w14:paraId="7737A4F2">
      <w:pPr>
        <w:keepNext w:val="0"/>
        <w:keepLines w:val="0"/>
        <w:pageBreakBefore w:val="0"/>
        <w:kinsoku/>
        <w:wordWrap/>
        <w:overflowPunct/>
        <w:topLinePunct w:val="0"/>
        <w:bidi w:val="0"/>
        <w:snapToGrid/>
        <w:spacing w:line="580" w:lineRule="exact"/>
        <w:ind w:left="0" w:firstLine="480" w:firstLineChars="200"/>
        <w:jc w:val="both"/>
        <w:textAlignment w:val="auto"/>
        <w:rPr>
          <w:rStyle w:val="28"/>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第三十二条</w:t>
      </w:r>
      <w:r>
        <w:rPr>
          <w:rFonts w:hint="eastAsia" w:asciiTheme="minorEastAsia" w:hAnsiTheme="minorEastAsia" w:eastAsiaTheme="minorEastAsia" w:cstheme="minorEastAsia"/>
          <w:b w:val="0"/>
          <w:bCs w:val="0"/>
          <w:color w:val="auto"/>
          <w:sz w:val="24"/>
          <w:szCs w:val="24"/>
          <w:lang w:val="en-US" w:eastAsia="zh-CN"/>
        </w:rPr>
        <w:t xml:space="preserve"> 每年年末应当对往来款项进行自查，定期做好对往来账目的核对工作。</w:t>
      </w:r>
    </w:p>
    <w:p w14:paraId="64D79C23">
      <w:pPr>
        <w:pStyle w:val="4"/>
        <w:keepNext w:val="0"/>
        <w:keepLines w:val="0"/>
        <w:pageBreakBefore w:val="0"/>
        <w:kinsoku/>
        <w:wordWrap/>
        <w:overflowPunct/>
        <w:topLinePunct w:val="0"/>
        <w:bidi w:val="0"/>
        <w:snapToGrid/>
        <w:spacing w:after="0" w:line="580" w:lineRule="exact"/>
        <w:ind w:left="0" w:firstLine="960" w:firstLineChars="4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第六章  预算结转资金和预算结余资金管理</w:t>
      </w:r>
    </w:p>
    <w:p w14:paraId="7BB627D6">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第三十三条 </w:t>
      </w:r>
      <w:r>
        <w:rPr>
          <w:rFonts w:hint="eastAsia" w:asciiTheme="minorEastAsia" w:hAnsiTheme="minorEastAsia" w:eastAsiaTheme="minorEastAsia" w:cstheme="minorEastAsia"/>
          <w:b w:val="0"/>
          <w:bCs w:val="0"/>
          <w:color w:val="auto"/>
          <w:sz w:val="24"/>
          <w:szCs w:val="24"/>
        </w:rPr>
        <w:t>预算结转资金是指预算未全部执行或未执行，下年需按用途继续使用的预算资金。</w:t>
      </w:r>
    </w:p>
    <w:p w14:paraId="0D55A7BA">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第三十四条</w:t>
      </w:r>
      <w:r>
        <w:rPr>
          <w:rFonts w:hint="eastAsia" w:asciiTheme="minorEastAsia" w:hAnsiTheme="minorEastAsia" w:eastAsiaTheme="minorEastAsia" w:cstheme="minorEastAsia"/>
          <w:b w:val="0"/>
          <w:bCs w:val="0"/>
          <w:color w:val="auto"/>
          <w:sz w:val="24"/>
          <w:szCs w:val="24"/>
        </w:rPr>
        <w:t xml:space="preserve"> 预算结余资金是指项目实施周期已结束、项目目标完成或项目提前终止，尚未列支的项目支出预算资金；因项目实施计划调整，不需要继续支出的预算资金。</w:t>
      </w:r>
    </w:p>
    <w:p w14:paraId="485CCB41">
      <w:pPr>
        <w:keepNext w:val="0"/>
        <w:keepLines w:val="0"/>
        <w:pageBreakBefore w:val="0"/>
        <w:kinsoku/>
        <w:wordWrap/>
        <w:overflowPunct/>
        <w:topLinePunct w:val="0"/>
        <w:bidi w:val="0"/>
        <w:snapToGrid/>
        <w:spacing w:line="580" w:lineRule="exact"/>
        <w:ind w:left="0" w:firstLine="480" w:firstLineChars="200"/>
        <w:jc w:val="both"/>
        <w:textAlignment w:val="auto"/>
        <w:rPr>
          <w:rStyle w:val="28"/>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第三十五条</w:t>
      </w:r>
      <w:r>
        <w:rPr>
          <w:rFonts w:hint="eastAsia" w:asciiTheme="minorEastAsia" w:hAnsiTheme="minorEastAsia" w:eastAsiaTheme="minorEastAsia" w:cstheme="minorEastAsia"/>
          <w:b w:val="0"/>
          <w:bCs w:val="0"/>
          <w:color w:val="auto"/>
          <w:sz w:val="24"/>
          <w:szCs w:val="24"/>
        </w:rPr>
        <w:t xml:space="preserve"> 预算结转资金和预算结余资金必须保证专款专用，不得挪作他用。</w:t>
      </w:r>
    </w:p>
    <w:p w14:paraId="49880AF0">
      <w:pPr>
        <w:pStyle w:val="4"/>
        <w:keepNext w:val="0"/>
        <w:keepLines w:val="0"/>
        <w:pageBreakBefore w:val="0"/>
        <w:kinsoku/>
        <w:wordWrap/>
        <w:overflowPunct/>
        <w:topLinePunct w:val="0"/>
        <w:bidi w:val="0"/>
        <w:snapToGrid/>
        <w:spacing w:after="0" w:line="580" w:lineRule="exact"/>
        <w:ind w:left="0" w:firstLine="1928" w:firstLineChars="8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第七章 财务岗位分工</w:t>
      </w:r>
    </w:p>
    <w:p w14:paraId="56AB5566">
      <w:pPr>
        <w:keepNext w:val="0"/>
        <w:keepLines w:val="0"/>
        <w:pageBreakBefore w:val="0"/>
        <w:kinsoku/>
        <w:wordWrap/>
        <w:overflowPunct/>
        <w:topLinePunct w:val="0"/>
        <w:bidi w:val="0"/>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 xml:space="preserve"> </w:t>
      </w:r>
      <w:r>
        <w:rPr>
          <w:rStyle w:val="28"/>
          <w:rFonts w:hint="eastAsia" w:asciiTheme="minorEastAsia" w:hAnsiTheme="minorEastAsia" w:eastAsiaTheme="minorEastAsia" w:cstheme="minorEastAsia"/>
          <w:b w:val="0"/>
          <w:bCs w:val="0"/>
          <w:color w:val="auto"/>
          <w:sz w:val="24"/>
          <w:szCs w:val="24"/>
          <w:lang w:val="en-US" w:eastAsia="zh-CN" w:bidi="ar-SA"/>
        </w:rPr>
        <w:t xml:space="preserve"> 第三十六条</w:t>
      </w:r>
      <w:r>
        <w:rPr>
          <w:rFonts w:hint="eastAsia" w:asciiTheme="minorEastAsia" w:hAnsiTheme="minorEastAsia" w:eastAsiaTheme="minorEastAsia" w:cstheme="minorEastAsia"/>
          <w:b w:val="0"/>
          <w:bCs w:val="0"/>
          <w:color w:val="auto"/>
          <w:sz w:val="24"/>
          <w:szCs w:val="24"/>
        </w:rPr>
        <w:t xml:space="preserve"> 根据工作业务的需要设置会计、出纳员财务岗位。 </w:t>
      </w:r>
    </w:p>
    <w:p w14:paraId="28BA26A1">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第三十七条 </w:t>
      </w:r>
      <w:r>
        <w:rPr>
          <w:rFonts w:hint="eastAsia" w:asciiTheme="minorEastAsia" w:hAnsiTheme="minorEastAsia" w:eastAsiaTheme="minorEastAsia" w:cstheme="minorEastAsia"/>
          <w:b w:val="0"/>
          <w:bCs w:val="0"/>
          <w:color w:val="auto"/>
          <w:sz w:val="24"/>
          <w:szCs w:val="24"/>
        </w:rPr>
        <w:t>会计负责本单位会计核算工作，对收、付款凭证、账册、报表、绩效进行审核复核，严格执行各项规章制度，确保会计工作规范化。</w:t>
      </w:r>
    </w:p>
    <w:p w14:paraId="262FAFD5">
      <w:pPr>
        <w:keepNext w:val="0"/>
        <w:keepLines w:val="0"/>
        <w:pageBreakBefore w:val="0"/>
        <w:kinsoku/>
        <w:wordWrap/>
        <w:overflowPunct/>
        <w:topLinePunct w:val="0"/>
        <w:bidi w:val="0"/>
        <w:snapToGrid/>
        <w:spacing w:line="580" w:lineRule="exact"/>
        <w:ind w:left="0" w:firstLine="240" w:firstLineChars="1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w:t>
      </w:r>
      <w:r>
        <w:rPr>
          <w:rStyle w:val="28"/>
          <w:rFonts w:hint="eastAsia" w:asciiTheme="minorEastAsia" w:hAnsiTheme="minorEastAsia" w:eastAsiaTheme="minorEastAsia" w:cstheme="minorEastAsia"/>
          <w:b w:val="0"/>
          <w:bCs w:val="0"/>
          <w:color w:val="auto"/>
          <w:sz w:val="24"/>
          <w:szCs w:val="24"/>
          <w:lang w:val="en-US" w:eastAsia="zh-CN" w:bidi="ar-SA"/>
        </w:rPr>
        <w:t xml:space="preserve"> 第三十八条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会计负责本单位会计凭证、报销票据的审核</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编制预算和决算</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账簿登记、</w:t>
      </w:r>
      <w:r>
        <w:rPr>
          <w:rFonts w:hint="eastAsia" w:asciiTheme="minorEastAsia" w:hAnsiTheme="minorEastAsia" w:eastAsiaTheme="minorEastAsia" w:cstheme="minorEastAsia"/>
          <w:b w:val="0"/>
          <w:bCs w:val="0"/>
          <w:color w:val="auto"/>
          <w:sz w:val="24"/>
          <w:szCs w:val="24"/>
          <w:lang w:eastAsia="zh-CN"/>
        </w:rPr>
        <w:t>会计报表、</w:t>
      </w:r>
      <w:r>
        <w:rPr>
          <w:rFonts w:hint="eastAsia" w:asciiTheme="minorEastAsia" w:hAnsiTheme="minorEastAsia" w:eastAsiaTheme="minorEastAsia" w:cstheme="minorEastAsia"/>
          <w:b w:val="0"/>
          <w:bCs w:val="0"/>
          <w:color w:val="auto"/>
          <w:sz w:val="24"/>
          <w:szCs w:val="24"/>
        </w:rPr>
        <w:t>会计档案管理等工作。</w:t>
      </w:r>
    </w:p>
    <w:p w14:paraId="057748B4">
      <w:pPr>
        <w:keepNext w:val="0"/>
        <w:keepLines w:val="0"/>
        <w:pageBreakBefore w:val="0"/>
        <w:kinsoku/>
        <w:wordWrap/>
        <w:overflowPunct/>
        <w:topLinePunct w:val="0"/>
        <w:bidi w:val="0"/>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第三十九条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出纳员负责货币资金、银行账户管理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税务申报、</w:t>
      </w:r>
      <w:r>
        <w:rPr>
          <w:rFonts w:hint="eastAsia" w:asciiTheme="minorEastAsia" w:hAnsiTheme="minorEastAsia" w:eastAsiaTheme="minorEastAsia" w:cstheme="minorEastAsia"/>
          <w:b w:val="0"/>
          <w:bCs w:val="0"/>
          <w:color w:val="auto"/>
          <w:sz w:val="24"/>
          <w:szCs w:val="24"/>
          <w:lang w:eastAsia="zh-CN"/>
        </w:rPr>
        <w:t>银行</w:t>
      </w:r>
      <w:r>
        <w:rPr>
          <w:rFonts w:hint="eastAsia" w:asciiTheme="minorEastAsia" w:hAnsiTheme="minorEastAsia" w:eastAsiaTheme="minorEastAsia" w:cstheme="minorEastAsia"/>
          <w:b w:val="0"/>
          <w:bCs w:val="0"/>
          <w:color w:val="auto"/>
          <w:sz w:val="24"/>
          <w:szCs w:val="24"/>
        </w:rPr>
        <w:t>票据的申领使用</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财务专用章保管等。</w:t>
      </w:r>
    </w:p>
    <w:p w14:paraId="6C9F11F2">
      <w:pPr>
        <w:keepNext w:val="0"/>
        <w:keepLines w:val="0"/>
        <w:pageBreakBefore w:val="0"/>
        <w:kinsoku/>
        <w:wordWrap/>
        <w:overflowPunct/>
        <w:topLinePunct w:val="0"/>
        <w:bidi w:val="0"/>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第四十条 </w:t>
      </w:r>
      <w:r>
        <w:rPr>
          <w:rFonts w:hint="eastAsia" w:asciiTheme="minorEastAsia" w:hAnsiTheme="minorEastAsia" w:eastAsiaTheme="minorEastAsia" w:cstheme="minorEastAsia"/>
          <w:b w:val="0"/>
          <w:bCs w:val="0"/>
          <w:color w:val="auto"/>
          <w:sz w:val="24"/>
          <w:szCs w:val="24"/>
        </w:rPr>
        <w:t>会计不得兼任出纳工作，不得经管现金和财务票据；会计不得兼任采购员、保管员工作；出纳员不得兼任</w:t>
      </w:r>
      <w:r>
        <w:rPr>
          <w:rFonts w:hint="eastAsia" w:asciiTheme="minorEastAsia" w:hAnsiTheme="minorEastAsia" w:eastAsiaTheme="minorEastAsia" w:cstheme="minorEastAsia"/>
          <w:b w:val="0"/>
          <w:bCs w:val="0"/>
          <w:color w:val="auto"/>
          <w:sz w:val="24"/>
          <w:szCs w:val="24"/>
          <w:lang w:eastAsia="zh-CN"/>
        </w:rPr>
        <w:t>复</w:t>
      </w:r>
      <w:r>
        <w:rPr>
          <w:rFonts w:hint="eastAsia" w:asciiTheme="minorEastAsia" w:hAnsiTheme="minorEastAsia" w:eastAsiaTheme="minorEastAsia" w:cstheme="minorEastAsia"/>
          <w:b w:val="0"/>
          <w:bCs w:val="0"/>
          <w:color w:val="auto"/>
          <w:sz w:val="24"/>
          <w:szCs w:val="24"/>
        </w:rPr>
        <w:t>核。</w:t>
      </w:r>
    </w:p>
    <w:p w14:paraId="1DE7627D">
      <w:pPr>
        <w:keepNext w:val="0"/>
        <w:keepLines w:val="0"/>
        <w:pageBreakBefore w:val="0"/>
        <w:kinsoku/>
        <w:wordWrap/>
        <w:overflowPunct/>
        <w:topLinePunct w:val="0"/>
        <w:bidi w:val="0"/>
        <w:snapToGrid/>
        <w:spacing w:line="580" w:lineRule="exact"/>
        <w:ind w:left="0" w:firstLine="480" w:firstLineChars="200"/>
        <w:jc w:val="both"/>
        <w:textAlignment w:val="auto"/>
        <w:rPr>
          <w:rStyle w:val="28"/>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第四十一条</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eastAsia="zh-CN"/>
        </w:rPr>
        <w:t>财务</w:t>
      </w:r>
      <w:r>
        <w:rPr>
          <w:rFonts w:hint="eastAsia" w:asciiTheme="minorEastAsia" w:hAnsiTheme="minorEastAsia" w:eastAsiaTheme="minorEastAsia" w:cstheme="minorEastAsia"/>
          <w:b w:val="0"/>
          <w:bCs w:val="0"/>
          <w:color w:val="auto"/>
          <w:sz w:val="24"/>
          <w:szCs w:val="24"/>
        </w:rPr>
        <w:t>人员因工作调动或离职，本人必须将全部工作移交给接替人并书写交接书</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交接书必须有交账人、接账人、监交人和</w:t>
      </w:r>
      <w:r>
        <w:rPr>
          <w:rFonts w:hint="eastAsia" w:asciiTheme="minorEastAsia" w:hAnsiTheme="minorEastAsia" w:eastAsiaTheme="minorEastAsia" w:cstheme="minorEastAsia"/>
          <w:b w:val="0"/>
          <w:bCs w:val="0"/>
          <w:color w:val="auto"/>
          <w:sz w:val="24"/>
          <w:szCs w:val="24"/>
          <w:lang w:eastAsia="zh-CN"/>
        </w:rPr>
        <w:t>分</w:t>
      </w:r>
      <w:r>
        <w:rPr>
          <w:rFonts w:hint="eastAsia" w:asciiTheme="minorEastAsia" w:hAnsiTheme="minorEastAsia" w:eastAsiaTheme="minorEastAsia" w:cstheme="minorEastAsia"/>
          <w:b w:val="0"/>
          <w:bCs w:val="0"/>
          <w:color w:val="auto"/>
          <w:sz w:val="24"/>
          <w:szCs w:val="24"/>
        </w:rPr>
        <w:t>管财务局长签字。会计</w:t>
      </w:r>
      <w:r>
        <w:rPr>
          <w:rFonts w:hint="eastAsia" w:asciiTheme="minorEastAsia" w:hAnsiTheme="minorEastAsia" w:eastAsiaTheme="minorEastAsia" w:cstheme="minorEastAsia"/>
          <w:b w:val="0"/>
          <w:bCs w:val="0"/>
          <w:color w:val="auto"/>
          <w:sz w:val="24"/>
          <w:szCs w:val="24"/>
          <w:lang w:eastAsia="zh-CN"/>
        </w:rPr>
        <w:t>交接</w:t>
      </w:r>
      <w:r>
        <w:rPr>
          <w:rFonts w:hint="eastAsia" w:asciiTheme="minorEastAsia" w:hAnsiTheme="minorEastAsia" w:eastAsiaTheme="minorEastAsia" w:cstheme="minorEastAsia"/>
          <w:b w:val="0"/>
          <w:bCs w:val="0"/>
          <w:color w:val="auto"/>
          <w:sz w:val="24"/>
          <w:szCs w:val="24"/>
        </w:rPr>
        <w:t>需要填写会计移交清册，移交清册主要包括保管的会计档案</w:t>
      </w:r>
      <w:r>
        <w:rPr>
          <w:rFonts w:hint="eastAsia" w:asciiTheme="minorEastAsia" w:hAnsiTheme="minorEastAsia" w:eastAsiaTheme="minorEastAsia" w:cstheme="minorEastAsia"/>
          <w:b w:val="0"/>
          <w:bCs w:val="0"/>
          <w:color w:val="auto"/>
          <w:sz w:val="24"/>
          <w:szCs w:val="24"/>
          <w:lang w:eastAsia="zh-CN"/>
        </w:rPr>
        <w:t>、会计资料和文件等</w:t>
      </w:r>
      <w:r>
        <w:rPr>
          <w:rFonts w:hint="eastAsia" w:asciiTheme="minorEastAsia" w:hAnsiTheme="minorEastAsia" w:eastAsiaTheme="minorEastAsia" w:cstheme="minorEastAsia"/>
          <w:b w:val="0"/>
          <w:bCs w:val="0"/>
          <w:color w:val="auto"/>
          <w:sz w:val="24"/>
          <w:szCs w:val="24"/>
        </w:rPr>
        <w:t>；出纳</w:t>
      </w:r>
      <w:r>
        <w:rPr>
          <w:rFonts w:hint="eastAsia" w:asciiTheme="minorEastAsia" w:hAnsiTheme="minorEastAsia" w:eastAsiaTheme="minorEastAsia" w:cstheme="minorEastAsia"/>
          <w:b w:val="0"/>
          <w:bCs w:val="0"/>
          <w:color w:val="auto"/>
          <w:sz w:val="24"/>
          <w:szCs w:val="24"/>
          <w:lang w:eastAsia="zh-CN"/>
        </w:rPr>
        <w:t>员交接主要包括</w:t>
      </w:r>
      <w:r>
        <w:rPr>
          <w:rFonts w:hint="eastAsia" w:asciiTheme="minorEastAsia" w:hAnsiTheme="minorEastAsia" w:eastAsiaTheme="minorEastAsia" w:cstheme="minorEastAsia"/>
          <w:b w:val="0"/>
          <w:bCs w:val="0"/>
          <w:color w:val="auto"/>
          <w:sz w:val="24"/>
          <w:szCs w:val="24"/>
        </w:rPr>
        <w:t>财务章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银行票据</w:t>
      </w:r>
      <w:r>
        <w:rPr>
          <w:rFonts w:hint="eastAsia" w:asciiTheme="minorEastAsia" w:hAnsiTheme="minorEastAsia" w:eastAsiaTheme="minorEastAsia" w:cstheme="minorEastAsia"/>
          <w:b w:val="0"/>
          <w:bCs w:val="0"/>
          <w:color w:val="auto"/>
          <w:sz w:val="24"/>
          <w:szCs w:val="24"/>
          <w:lang w:eastAsia="zh-CN"/>
        </w:rPr>
        <w:t>和银行账户</w:t>
      </w:r>
      <w:r>
        <w:rPr>
          <w:rFonts w:hint="eastAsia" w:asciiTheme="minorEastAsia" w:hAnsiTheme="minorEastAsia" w:eastAsiaTheme="minorEastAsia" w:cstheme="minorEastAsia"/>
          <w:b w:val="0"/>
          <w:bCs w:val="0"/>
          <w:color w:val="auto"/>
          <w:sz w:val="24"/>
          <w:szCs w:val="24"/>
        </w:rPr>
        <w:t>等。没有办清交接手续的，不得调动或者离职。</w:t>
      </w:r>
    </w:p>
    <w:p w14:paraId="5639DA07">
      <w:pPr>
        <w:pStyle w:val="4"/>
        <w:keepNext w:val="0"/>
        <w:keepLines w:val="0"/>
        <w:pageBreakBefore w:val="0"/>
        <w:kinsoku/>
        <w:wordWrap/>
        <w:overflowPunct/>
        <w:topLinePunct w:val="0"/>
        <w:bidi w:val="0"/>
        <w:snapToGrid/>
        <w:spacing w:after="0" w:line="580" w:lineRule="exact"/>
        <w:ind w:left="0" w:firstLine="1687" w:firstLineChars="7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第八章  会计档案管理</w:t>
      </w:r>
    </w:p>
    <w:p w14:paraId="333E2048">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第四十二条</w:t>
      </w:r>
      <w:r>
        <w:rPr>
          <w:rFonts w:hint="eastAsia" w:asciiTheme="minorEastAsia" w:hAnsiTheme="minorEastAsia" w:eastAsiaTheme="minorEastAsia" w:cstheme="minorEastAsia"/>
          <w:b w:val="0"/>
          <w:bCs w:val="0"/>
          <w:color w:val="auto"/>
          <w:sz w:val="24"/>
          <w:szCs w:val="24"/>
        </w:rPr>
        <w:t xml:space="preserve"> 所有会计凭证、会计账簿、财务报表、银行对账单等一律纳入会计档案管理。</w:t>
      </w:r>
    </w:p>
    <w:p w14:paraId="558511AE">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第四十三条 </w:t>
      </w:r>
      <w:r>
        <w:rPr>
          <w:rFonts w:hint="eastAsia" w:asciiTheme="minorEastAsia" w:hAnsiTheme="minorEastAsia" w:eastAsiaTheme="minorEastAsia" w:cstheme="minorEastAsia"/>
          <w:b w:val="0"/>
          <w:bCs w:val="0"/>
          <w:color w:val="auto"/>
          <w:sz w:val="24"/>
          <w:szCs w:val="24"/>
        </w:rPr>
        <w:t>会计档案不得借出，如有特殊需要，应持相关</w:t>
      </w:r>
      <w:r>
        <w:rPr>
          <w:rFonts w:hint="eastAsia" w:asciiTheme="minorEastAsia" w:hAnsiTheme="minorEastAsia" w:eastAsiaTheme="minorEastAsia" w:cstheme="minorEastAsia"/>
          <w:b w:val="0"/>
          <w:bCs w:val="0"/>
          <w:color w:val="auto"/>
          <w:sz w:val="24"/>
          <w:szCs w:val="24"/>
          <w:lang w:eastAsia="zh-CN"/>
        </w:rPr>
        <w:t>证件</w:t>
      </w:r>
      <w:r>
        <w:rPr>
          <w:rFonts w:hint="eastAsia" w:asciiTheme="minorEastAsia" w:hAnsiTheme="minorEastAsia" w:eastAsiaTheme="minorEastAsia" w:cstheme="minorEastAsia"/>
          <w:b w:val="0"/>
          <w:bCs w:val="0"/>
          <w:color w:val="auto"/>
          <w:sz w:val="24"/>
          <w:szCs w:val="24"/>
        </w:rPr>
        <w:t>，经分管财务局长批准，</w:t>
      </w:r>
      <w:r>
        <w:rPr>
          <w:rFonts w:hint="eastAsia" w:asciiTheme="minorEastAsia" w:hAnsiTheme="minorEastAsia" w:eastAsiaTheme="minorEastAsia" w:cstheme="minorEastAsia"/>
          <w:b w:val="0"/>
          <w:bCs w:val="0"/>
          <w:color w:val="auto"/>
          <w:sz w:val="24"/>
          <w:szCs w:val="24"/>
          <w:lang w:eastAsia="zh-CN"/>
        </w:rPr>
        <w:t>提供复印件</w:t>
      </w:r>
      <w:r>
        <w:rPr>
          <w:rFonts w:hint="eastAsia" w:asciiTheme="minorEastAsia" w:hAnsiTheme="minorEastAsia" w:eastAsiaTheme="minorEastAsia" w:cstheme="minorEastAsia"/>
          <w:b w:val="0"/>
          <w:bCs w:val="0"/>
          <w:color w:val="auto"/>
          <w:sz w:val="24"/>
          <w:szCs w:val="24"/>
        </w:rPr>
        <w:t xml:space="preserve">。  </w:t>
      </w:r>
    </w:p>
    <w:p w14:paraId="2EFAC4C6">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第四十四条</w:t>
      </w:r>
      <w:r>
        <w:rPr>
          <w:rFonts w:hint="eastAsia" w:asciiTheme="minorEastAsia" w:hAnsiTheme="minorEastAsia" w:eastAsiaTheme="minorEastAsia" w:cstheme="minorEastAsia"/>
          <w:b w:val="0"/>
          <w:bCs w:val="0"/>
          <w:color w:val="auto"/>
          <w:sz w:val="24"/>
          <w:szCs w:val="24"/>
        </w:rPr>
        <w:t xml:space="preserve"> 严格执行会计档案保管期限规定，对不超过期限的一定要妥善保管，对超过保管期限的，要按档案管理程序报批后，由相关部门监督销毁。</w:t>
      </w:r>
    </w:p>
    <w:p w14:paraId="0E2DC6D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077B2056">
      <w:pPr>
        <w:keepNext w:val="0"/>
        <w:keepLines w:val="0"/>
        <w:pageBreakBefore w:val="0"/>
        <w:widowControl w:val="0"/>
        <w:kinsoku/>
        <w:wordWrap/>
        <w:overflowPunct/>
        <w:topLinePunct w:val="0"/>
        <w:autoSpaceDE/>
        <w:autoSpaceDN/>
        <w:bidi w:val="0"/>
        <w:adjustRightInd/>
        <w:snapToGrid/>
        <w:spacing w:line="580" w:lineRule="exact"/>
        <w:ind w:left="0" w:firstLine="1687" w:firstLineChars="700"/>
        <w:jc w:val="both"/>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第九章  财务监督管理</w:t>
      </w:r>
    </w:p>
    <w:p w14:paraId="5C8289EC">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第四十五条</w:t>
      </w:r>
      <w:r>
        <w:rPr>
          <w:rFonts w:hint="eastAsia" w:asciiTheme="minorEastAsia" w:hAnsiTheme="minorEastAsia" w:eastAsiaTheme="minorEastAsia" w:cstheme="minorEastAsia"/>
          <w:b w:val="0"/>
          <w:bCs w:val="0"/>
          <w:color w:val="auto"/>
          <w:sz w:val="24"/>
          <w:szCs w:val="24"/>
        </w:rPr>
        <w:t xml:space="preserve"> 办公室定期对本单位财务收支情况进行自查或请财审部门进行检查。</w:t>
      </w:r>
    </w:p>
    <w:p w14:paraId="5D687B6B">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第四十六条 </w:t>
      </w:r>
      <w:r>
        <w:rPr>
          <w:rFonts w:hint="eastAsia" w:asciiTheme="minorEastAsia" w:hAnsiTheme="minorEastAsia" w:eastAsiaTheme="minorEastAsia" w:cstheme="minorEastAsia"/>
          <w:b w:val="0"/>
          <w:bCs w:val="0"/>
          <w:color w:val="auto"/>
          <w:sz w:val="24"/>
          <w:szCs w:val="24"/>
        </w:rPr>
        <w:t>财务监督的主要内容：</w:t>
      </w:r>
    </w:p>
    <w:p w14:paraId="5B84AE01">
      <w:pPr>
        <w:keepNext w:val="0"/>
        <w:keepLines w:val="0"/>
        <w:pageBreakBefore w:val="0"/>
        <w:numPr>
          <w:ilvl w:val="0"/>
          <w:numId w:val="0"/>
        </w:numPr>
        <w:kinsoku/>
        <w:wordWrap/>
        <w:overflowPunct/>
        <w:topLinePunct w:val="0"/>
        <w:bidi w:val="0"/>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国家财经法规执行情况</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 xml:space="preserve"> </w:t>
      </w:r>
    </w:p>
    <w:p w14:paraId="7592E4F8">
      <w:pPr>
        <w:keepNext w:val="0"/>
        <w:keepLines w:val="0"/>
        <w:pageBreakBefore w:val="0"/>
        <w:numPr>
          <w:ilvl w:val="0"/>
          <w:numId w:val="0"/>
        </w:numPr>
        <w:kinsoku/>
        <w:wordWrap/>
        <w:overflowPunct/>
        <w:topLinePunct w:val="0"/>
        <w:bidi w:val="0"/>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预算、决算的编制、执行，财务报告的真实性、准确性、完整性</w:t>
      </w:r>
      <w:r>
        <w:rPr>
          <w:rFonts w:hint="eastAsia" w:asciiTheme="minorEastAsia" w:hAnsiTheme="minorEastAsia" w:eastAsiaTheme="minorEastAsia" w:cstheme="minorEastAsia"/>
          <w:b w:val="0"/>
          <w:bCs w:val="0"/>
          <w:color w:val="auto"/>
          <w:sz w:val="24"/>
          <w:szCs w:val="24"/>
          <w:lang w:val="en-US" w:eastAsia="zh-CN"/>
        </w:rPr>
        <w:t>;</w:t>
      </w:r>
    </w:p>
    <w:p w14:paraId="7910094A">
      <w:pPr>
        <w:keepNext w:val="0"/>
        <w:keepLines w:val="0"/>
        <w:pageBreakBefore w:val="0"/>
        <w:kinsoku/>
        <w:wordWrap/>
        <w:overflowPunct/>
        <w:topLinePunct w:val="0"/>
        <w:bidi w:val="0"/>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各项收支的范围和标准</w:t>
      </w:r>
      <w:r>
        <w:rPr>
          <w:rFonts w:hint="eastAsia" w:asciiTheme="minorEastAsia" w:hAnsiTheme="minorEastAsia" w:eastAsiaTheme="minorEastAsia" w:cstheme="minorEastAsia"/>
          <w:b w:val="0"/>
          <w:bCs w:val="0"/>
          <w:color w:val="auto"/>
          <w:sz w:val="24"/>
          <w:szCs w:val="24"/>
          <w:lang w:val="en-US" w:eastAsia="zh-CN"/>
        </w:rPr>
        <w:t>;</w:t>
      </w:r>
    </w:p>
    <w:p w14:paraId="79C9EF47">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有关资产管理要求和措施的落实情况</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 xml:space="preserve"> </w:t>
      </w:r>
    </w:p>
    <w:p w14:paraId="73A77FC7">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专项资金使用情况</w:t>
      </w:r>
      <w:r>
        <w:rPr>
          <w:rFonts w:hint="eastAsia" w:asciiTheme="minorEastAsia" w:hAnsiTheme="minorEastAsia" w:eastAsiaTheme="minorEastAsia" w:cstheme="minorEastAsia"/>
          <w:b w:val="0"/>
          <w:bCs w:val="0"/>
          <w:color w:val="auto"/>
          <w:sz w:val="24"/>
          <w:szCs w:val="24"/>
          <w:lang w:val="en-US" w:eastAsia="zh-CN"/>
        </w:rPr>
        <w:t>;</w:t>
      </w:r>
    </w:p>
    <w:p w14:paraId="340136AE">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违反财务规章制度问题的整改情况</w:t>
      </w:r>
      <w:r>
        <w:rPr>
          <w:rFonts w:hint="eastAsia" w:asciiTheme="minorEastAsia" w:hAnsiTheme="minorEastAsia" w:eastAsiaTheme="minorEastAsia" w:cstheme="minorEastAsia"/>
          <w:b w:val="0"/>
          <w:bCs w:val="0"/>
          <w:color w:val="auto"/>
          <w:sz w:val="24"/>
          <w:szCs w:val="24"/>
          <w:lang w:val="en-US" w:eastAsia="zh-CN"/>
        </w:rPr>
        <w:t>;</w:t>
      </w:r>
    </w:p>
    <w:p w14:paraId="3522B695">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财务管理其他事项。</w:t>
      </w:r>
    </w:p>
    <w:p w14:paraId="3DA391F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4B82C196">
      <w:pPr>
        <w:keepNext w:val="0"/>
        <w:keepLines w:val="0"/>
        <w:pageBreakBefore w:val="0"/>
        <w:kinsoku/>
        <w:wordWrap/>
        <w:overflowPunct/>
        <w:topLinePunct w:val="0"/>
        <w:bidi w:val="0"/>
        <w:snapToGrid/>
        <w:spacing w:line="580" w:lineRule="exact"/>
        <w:ind w:left="0" w:firstLine="1928" w:firstLineChars="800"/>
        <w:jc w:val="both"/>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第十章  附则</w:t>
      </w:r>
    </w:p>
    <w:p w14:paraId="319BAE18">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Style w:val="28"/>
          <w:rFonts w:hint="eastAsia" w:asciiTheme="minorEastAsia" w:hAnsiTheme="minorEastAsia" w:eastAsiaTheme="minorEastAsia" w:cstheme="minorEastAsia"/>
          <w:b w:val="0"/>
          <w:bCs w:val="0"/>
          <w:color w:val="auto"/>
          <w:sz w:val="24"/>
          <w:szCs w:val="24"/>
          <w:lang w:val="en-US" w:eastAsia="zh-CN" w:bidi="ar-SA"/>
        </w:rPr>
        <w:t xml:space="preserve">第四十七条 </w:t>
      </w:r>
      <w:r>
        <w:rPr>
          <w:rFonts w:hint="eastAsia" w:asciiTheme="minorEastAsia" w:hAnsiTheme="minorEastAsia" w:eastAsiaTheme="minorEastAsia" w:cstheme="minorEastAsia"/>
          <w:b w:val="0"/>
          <w:bCs w:val="0"/>
          <w:color w:val="auto"/>
          <w:sz w:val="24"/>
          <w:szCs w:val="24"/>
        </w:rPr>
        <w:t>本制度未尽事宜，按国家有关法律、法规等规定执行。</w:t>
      </w:r>
    </w:p>
    <w:p w14:paraId="223B8CD0">
      <w:pPr>
        <w:keepNext w:val="0"/>
        <w:keepLines w:val="0"/>
        <w:pageBreakBefore w:val="0"/>
        <w:kinsoku/>
        <w:wordWrap/>
        <w:overflowPunct/>
        <w:topLinePunct w:val="0"/>
        <w:bidi w:val="0"/>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第四十八条 本制度自发布之日起实施。</w:t>
      </w:r>
    </w:p>
    <w:p w14:paraId="543CCA30">
      <w:pPr>
        <w:pageBreakBefore w:val="0"/>
        <w:kinsoku/>
        <w:overflowPunct/>
        <w:topLinePunct w:val="0"/>
        <w:autoSpaceDE w:val="0"/>
        <w:bidi w:val="0"/>
        <w:spacing w:line="580" w:lineRule="exact"/>
        <w:ind w:left="0" w:firstLine="1084" w:firstLineChars="300"/>
        <w:jc w:val="both"/>
        <w:rPr>
          <w:rFonts w:hint="eastAsia" w:asciiTheme="minorEastAsia" w:hAnsiTheme="minorEastAsia" w:eastAsiaTheme="minorEastAsia" w:cstheme="minorEastAsia"/>
          <w:b/>
          <w:bCs/>
          <w:color w:val="auto"/>
          <w:sz w:val="36"/>
          <w:szCs w:val="36"/>
          <w:lang w:eastAsia="zh-CN"/>
        </w:rPr>
      </w:pPr>
    </w:p>
    <w:p w14:paraId="7054A990">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5A3C8217">
      <w:pPr>
        <w:jc w:val="both"/>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en-US" w:eastAsia="zh-CN"/>
        </w:rPr>
        <w:br w:type="page"/>
      </w:r>
    </w:p>
    <w:p w14:paraId="662513A7">
      <w:pPr>
        <w:pStyle w:val="3"/>
        <w:bidi w:val="0"/>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公务接待管理制度</w:t>
      </w:r>
    </w:p>
    <w:p w14:paraId="32B5FA2C">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为贯彻落实国家、省、市党委政府关于加强作风建设，倡导厉行节约的有关规定，进一步规范公务接待管理，根据《</w:t>
      </w:r>
      <w:r>
        <w:rPr>
          <w:rFonts w:hint="eastAsia" w:asciiTheme="minorEastAsia" w:hAnsiTheme="minorEastAsia" w:eastAsiaTheme="minorEastAsia" w:cstheme="minorEastAsia"/>
          <w:b w:val="0"/>
          <w:bCs w:val="0"/>
          <w:color w:val="auto"/>
          <w:sz w:val="24"/>
          <w:szCs w:val="24"/>
          <w:lang w:eastAsia="zh-CN"/>
        </w:rPr>
        <w:t>白城</w:t>
      </w:r>
      <w:r>
        <w:rPr>
          <w:rFonts w:hint="eastAsia" w:asciiTheme="minorEastAsia" w:hAnsiTheme="minorEastAsia" w:eastAsiaTheme="minorEastAsia" w:cstheme="minorEastAsia"/>
          <w:b w:val="0"/>
          <w:bCs w:val="0"/>
          <w:color w:val="auto"/>
          <w:sz w:val="24"/>
          <w:szCs w:val="24"/>
        </w:rPr>
        <w:t>市党政机关公务接待管理办法》</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结合白城市医疗保障局机关工作实际</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特制定本制度。</w:t>
      </w:r>
    </w:p>
    <w:p w14:paraId="54072B3E">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第</w:t>
      </w:r>
      <w:r>
        <w:rPr>
          <w:rFonts w:hint="eastAsia" w:asciiTheme="minorEastAsia" w:hAnsiTheme="minorEastAsia" w:eastAsiaTheme="minorEastAsia" w:cstheme="minorEastAsia"/>
          <w:b w:val="0"/>
          <w:bCs w:val="0"/>
          <w:color w:val="auto"/>
          <w:sz w:val="24"/>
          <w:szCs w:val="24"/>
        </w:rPr>
        <w:t>一</w:t>
      </w:r>
      <w:r>
        <w:rPr>
          <w:rFonts w:hint="eastAsia" w:asciiTheme="minorEastAsia" w:hAnsiTheme="minorEastAsia" w:eastAsiaTheme="minorEastAsia" w:cstheme="minorEastAsia"/>
          <w:b w:val="0"/>
          <w:bCs w:val="0"/>
          <w:color w:val="auto"/>
          <w:sz w:val="24"/>
          <w:szCs w:val="24"/>
          <w:lang w:eastAsia="zh-CN"/>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公务接待原则</w:t>
      </w:r>
    </w:p>
    <w:p w14:paraId="3BC43CEC">
      <w:pPr>
        <w:pStyle w:val="8"/>
        <w:keepNext w:val="0"/>
        <w:keepLines w:val="0"/>
        <w:pageBreakBefore w:val="0"/>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按照“三个不接待”的原则，即“同城不接待、非公务活动不接待、无公函的公务活动</w:t>
      </w:r>
      <w:r>
        <w:rPr>
          <w:rFonts w:hint="eastAsia" w:asciiTheme="minorEastAsia" w:hAnsiTheme="minorEastAsia" w:eastAsiaTheme="minorEastAsia" w:cstheme="minorEastAsia"/>
          <w:b w:val="0"/>
          <w:bCs w:val="0"/>
          <w:color w:val="auto"/>
          <w:sz w:val="24"/>
          <w:szCs w:val="24"/>
          <w:lang w:eastAsia="zh-CN"/>
        </w:rPr>
        <w:t>不接待</w:t>
      </w:r>
      <w:r>
        <w:rPr>
          <w:rFonts w:hint="eastAsia" w:asciiTheme="minorEastAsia" w:hAnsiTheme="minorEastAsia" w:eastAsiaTheme="minorEastAsia" w:cstheme="minorEastAsia"/>
          <w:b w:val="0"/>
          <w:bCs w:val="0"/>
          <w:color w:val="auto"/>
          <w:sz w:val="24"/>
          <w:szCs w:val="24"/>
        </w:rPr>
        <w:t>”，严格规范接待行为，具体接待对象主要为</w:t>
      </w:r>
      <w:r>
        <w:rPr>
          <w:rFonts w:hint="eastAsia" w:asciiTheme="minorEastAsia" w:hAnsiTheme="minorEastAsia" w:eastAsiaTheme="minorEastAsia" w:cstheme="minorEastAsia"/>
          <w:b w:val="0"/>
          <w:bCs w:val="0"/>
          <w:color w:val="auto"/>
          <w:sz w:val="24"/>
          <w:szCs w:val="24"/>
          <w:lang w:eastAsia="zh-CN"/>
        </w:rPr>
        <w:t>四</w:t>
      </w:r>
      <w:r>
        <w:rPr>
          <w:rFonts w:hint="eastAsia" w:asciiTheme="minorEastAsia" w:hAnsiTheme="minorEastAsia" w:eastAsiaTheme="minorEastAsia" w:cstheme="minorEastAsia"/>
          <w:b w:val="0"/>
          <w:bCs w:val="0"/>
          <w:color w:val="auto"/>
          <w:sz w:val="24"/>
          <w:szCs w:val="24"/>
        </w:rPr>
        <w:t>类：</w:t>
      </w:r>
    </w:p>
    <w:p w14:paraId="77D9FF5B">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1.</w:t>
      </w:r>
      <w:r>
        <w:rPr>
          <w:rFonts w:hint="eastAsia" w:asciiTheme="minorEastAsia" w:hAnsiTheme="minorEastAsia" w:eastAsiaTheme="minorEastAsia" w:cstheme="minorEastAsia"/>
          <w:b w:val="0"/>
          <w:bCs w:val="0"/>
          <w:color w:val="auto"/>
          <w:sz w:val="24"/>
          <w:szCs w:val="24"/>
        </w:rPr>
        <w:t>上级领导机关到我市检查指导工作人员</w:t>
      </w:r>
      <w:r>
        <w:rPr>
          <w:rFonts w:hint="eastAsia" w:asciiTheme="minorEastAsia" w:hAnsiTheme="minorEastAsia" w:eastAsiaTheme="minorEastAsia" w:cstheme="minorEastAsia"/>
          <w:b w:val="0"/>
          <w:bCs w:val="0"/>
          <w:color w:val="auto"/>
          <w:sz w:val="24"/>
          <w:szCs w:val="24"/>
          <w:lang w:eastAsia="zh-CN"/>
        </w:rPr>
        <w:t>。</w:t>
      </w:r>
    </w:p>
    <w:p w14:paraId="43442D0A">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外地</w:t>
      </w:r>
      <w:r>
        <w:rPr>
          <w:rFonts w:hint="eastAsia" w:asciiTheme="minorEastAsia" w:hAnsiTheme="minorEastAsia" w:eastAsiaTheme="minorEastAsia" w:cstheme="minorEastAsia"/>
          <w:b w:val="0"/>
          <w:bCs w:val="0"/>
          <w:color w:val="auto"/>
          <w:sz w:val="24"/>
          <w:szCs w:val="24"/>
          <w:lang w:eastAsia="zh-CN"/>
        </w:rPr>
        <w:t>医保</w:t>
      </w:r>
      <w:r>
        <w:rPr>
          <w:rFonts w:hint="eastAsia" w:asciiTheme="minorEastAsia" w:hAnsiTheme="minorEastAsia" w:eastAsiaTheme="minorEastAsia" w:cstheme="minorEastAsia"/>
          <w:b w:val="0"/>
          <w:bCs w:val="0"/>
          <w:color w:val="auto"/>
          <w:sz w:val="24"/>
          <w:szCs w:val="24"/>
        </w:rPr>
        <w:t>部门来我市考察学习人员</w:t>
      </w:r>
      <w:r>
        <w:rPr>
          <w:rFonts w:hint="eastAsia" w:asciiTheme="minorEastAsia" w:hAnsiTheme="minorEastAsia" w:eastAsiaTheme="minorEastAsia" w:cstheme="minorEastAsia"/>
          <w:b w:val="0"/>
          <w:bCs w:val="0"/>
          <w:color w:val="auto"/>
          <w:sz w:val="24"/>
          <w:szCs w:val="24"/>
          <w:lang w:eastAsia="zh-CN"/>
        </w:rPr>
        <w:t>。</w:t>
      </w:r>
    </w:p>
    <w:p w14:paraId="64C50B0E">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3.县(市)来我局联系工作的党政领导。</w:t>
      </w:r>
    </w:p>
    <w:p w14:paraId="481C28C9">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4.组织</w:t>
      </w:r>
      <w:r>
        <w:rPr>
          <w:rFonts w:hint="eastAsia" w:asciiTheme="minorEastAsia" w:hAnsiTheme="minorEastAsia" w:eastAsiaTheme="minorEastAsia" w:cstheme="minorEastAsia"/>
          <w:b w:val="0"/>
          <w:bCs w:val="0"/>
          <w:color w:val="auto"/>
          <w:sz w:val="24"/>
          <w:szCs w:val="24"/>
        </w:rPr>
        <w:t>县(市)</w:t>
      </w:r>
      <w:r>
        <w:rPr>
          <w:rFonts w:hint="eastAsia" w:asciiTheme="minorEastAsia" w:hAnsiTheme="minorEastAsia" w:eastAsiaTheme="minorEastAsia" w:cstheme="minorEastAsia"/>
          <w:b w:val="0"/>
          <w:bCs w:val="0"/>
          <w:color w:val="auto"/>
          <w:sz w:val="24"/>
          <w:szCs w:val="24"/>
          <w:lang w:eastAsia="zh-CN"/>
        </w:rPr>
        <w:t>、区人员会议和学习培训。</w:t>
      </w:r>
    </w:p>
    <w:p w14:paraId="40ABBE92">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公务接待标准</w:t>
      </w:r>
    </w:p>
    <w:p w14:paraId="00AF1799">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1.接待对象应当按照规定标准自行用餐，确因工作需要，只可以安排一次工作餐。</w:t>
      </w:r>
    </w:p>
    <w:p w14:paraId="29A73D08">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2.严格控制陪餐人数。接待对象在10人以内的，陪餐人数不得超过3人；接待对象超过10人的，陪餐人数不得超过接待对象人数的三分之一。</w:t>
      </w:r>
    </w:p>
    <w:p w14:paraId="25E09A69">
      <w:pPr>
        <w:pStyle w:val="8"/>
        <w:keepNext w:val="0"/>
        <w:keepLines w:val="0"/>
        <w:pageBreakBefore w:val="0"/>
        <w:numPr>
          <w:ilvl w:val="0"/>
          <w:numId w:val="0"/>
        </w:numPr>
        <w:kinsoku/>
        <w:wordWrap/>
        <w:overflowPunct/>
        <w:topLinePunct w:val="0"/>
        <w:autoSpaceDE/>
        <w:autoSpaceDN/>
        <w:bidi w:val="0"/>
        <w:adjustRightInd/>
        <w:snapToGrid/>
        <w:spacing w:line="580" w:lineRule="exact"/>
        <w:ind w:left="0" w:firstLine="64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3.工作桌餐标准低于150元/人(不含酒水和饮品)，工作人员用餐标准为50元/人；会议培训用餐标准不超过40元/人。</w:t>
      </w:r>
    </w:p>
    <w:p w14:paraId="1C24DCE9">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4</w:t>
      </w:r>
      <w:r>
        <w:rPr>
          <w:rFonts w:hint="eastAsia" w:asciiTheme="minorEastAsia" w:hAnsiTheme="minorEastAsia" w:eastAsiaTheme="minorEastAsia" w:cstheme="minorEastAsia"/>
          <w:b w:val="0"/>
          <w:bCs w:val="0"/>
          <w:color w:val="auto"/>
          <w:sz w:val="24"/>
          <w:szCs w:val="24"/>
        </w:rPr>
        <w:t>．公务接待用餐一律不提供烟、酒，不提供高档、名贵菜肴或用野生保护动物制作的菜肴，不得使用私人会所或高消费场所，菜品以</w:t>
      </w:r>
      <w:r>
        <w:rPr>
          <w:rFonts w:hint="eastAsia" w:asciiTheme="minorEastAsia" w:hAnsiTheme="minorEastAsia" w:eastAsiaTheme="minorEastAsia" w:cstheme="minorEastAsia"/>
          <w:b w:val="0"/>
          <w:bCs w:val="0"/>
          <w:color w:val="auto"/>
          <w:sz w:val="24"/>
          <w:szCs w:val="24"/>
          <w:lang w:eastAsia="zh-CN"/>
        </w:rPr>
        <w:t>当地</w:t>
      </w:r>
      <w:r>
        <w:rPr>
          <w:rFonts w:hint="eastAsia" w:asciiTheme="minorEastAsia" w:hAnsiTheme="minorEastAsia" w:eastAsiaTheme="minorEastAsia" w:cstheme="minorEastAsia"/>
          <w:b w:val="0"/>
          <w:bCs w:val="0"/>
          <w:color w:val="auto"/>
          <w:sz w:val="24"/>
          <w:szCs w:val="24"/>
        </w:rPr>
        <w:t>家常菜为主。</w:t>
      </w:r>
    </w:p>
    <w:p w14:paraId="061CB8A9">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 xml:space="preserve">    第</w:t>
      </w:r>
      <w:r>
        <w:rPr>
          <w:rFonts w:hint="eastAsia" w:asciiTheme="minorEastAsia" w:hAnsiTheme="minorEastAsia" w:eastAsiaTheme="minorEastAsia" w:cstheme="minorEastAsia"/>
          <w:b w:val="0"/>
          <w:bCs w:val="0"/>
          <w:color w:val="auto"/>
          <w:sz w:val="24"/>
          <w:szCs w:val="24"/>
          <w:lang w:eastAsia="zh-CN"/>
        </w:rPr>
        <w:t>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kern w:val="2"/>
          <w:sz w:val="24"/>
          <w:szCs w:val="24"/>
          <w:lang w:val="en-US" w:eastAsia="zh-CN" w:bidi="ar-SA"/>
        </w:rPr>
        <w:t>公务接待要求</w:t>
      </w:r>
    </w:p>
    <w:p w14:paraId="001F2ADF">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1．所有公务接待统一由局办公室安排，其他科室不得自行安排</w:t>
      </w:r>
      <w:r>
        <w:rPr>
          <w:rFonts w:hint="eastAsia" w:asciiTheme="minorEastAsia" w:hAnsiTheme="minorEastAsia" w:eastAsiaTheme="minorEastAsia" w:cstheme="minorEastAsia"/>
          <w:b w:val="0"/>
          <w:bCs w:val="0"/>
          <w:color w:val="auto"/>
          <w:sz w:val="24"/>
          <w:szCs w:val="24"/>
          <w:lang w:eastAsia="zh-CN"/>
        </w:rPr>
        <w:t>。</w:t>
      </w:r>
    </w:p>
    <w:p w14:paraId="3BF4B9FB">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2．公务接待，应提前报局办公室和分管局长批准；必须提供公函，对无公函的公务活动和来访人员一律不予接待</w:t>
      </w:r>
      <w:r>
        <w:rPr>
          <w:rFonts w:hint="eastAsia" w:asciiTheme="minorEastAsia" w:hAnsiTheme="minorEastAsia" w:eastAsiaTheme="minorEastAsia" w:cstheme="minorEastAsia"/>
          <w:b w:val="0"/>
          <w:bCs w:val="0"/>
          <w:color w:val="auto"/>
          <w:sz w:val="24"/>
          <w:szCs w:val="24"/>
          <w:lang w:eastAsia="zh-CN"/>
        </w:rPr>
        <w:t>。</w:t>
      </w:r>
    </w:p>
    <w:p w14:paraId="6939B5FB">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 xml:space="preserve">    3.</w:t>
      </w:r>
      <w:r>
        <w:rPr>
          <w:rFonts w:hint="eastAsia" w:asciiTheme="minorEastAsia" w:hAnsiTheme="minorEastAsia" w:eastAsiaTheme="minorEastAsia" w:cstheme="minorEastAsia"/>
          <w:b w:val="0"/>
          <w:bCs w:val="0"/>
          <w:color w:val="auto"/>
          <w:sz w:val="24"/>
          <w:szCs w:val="24"/>
        </w:rPr>
        <w:t>公务接待费票据必须由经手人、局办公室、分管局长签字，报局主要领导审批后方可报销</w:t>
      </w:r>
      <w:r>
        <w:rPr>
          <w:rFonts w:hint="eastAsia" w:asciiTheme="minorEastAsia" w:hAnsiTheme="minorEastAsia" w:eastAsiaTheme="minorEastAsia" w:cstheme="minorEastAsia"/>
          <w:b w:val="0"/>
          <w:bCs w:val="0"/>
          <w:color w:val="auto"/>
          <w:sz w:val="24"/>
          <w:szCs w:val="24"/>
          <w:lang w:eastAsia="zh-CN"/>
        </w:rPr>
        <w:t>。</w:t>
      </w:r>
    </w:p>
    <w:p w14:paraId="646D1B12">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64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．各科室未经批准自行在外安排公务接待的，一律不予报销。</w:t>
      </w:r>
    </w:p>
    <w:p w14:paraId="0427DB30">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64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第四条 </w:t>
      </w:r>
      <w:r>
        <w:rPr>
          <w:rStyle w:val="18"/>
          <w:rFonts w:hint="eastAsia" w:asciiTheme="minorEastAsia" w:hAnsiTheme="minorEastAsia" w:eastAsiaTheme="minorEastAsia" w:cstheme="minorEastAsia"/>
          <w:b w:val="0"/>
          <w:bCs w:val="0"/>
          <w:color w:val="auto"/>
          <w:sz w:val="24"/>
          <w:szCs w:val="24"/>
        </w:rPr>
        <w:t>本制度自发布之日起实施。</w:t>
      </w: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w:t>
      </w:r>
    </w:p>
    <w:p w14:paraId="6FEBA341">
      <w:pPr>
        <w:pStyle w:val="8"/>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bCs/>
          <w:color w:val="auto"/>
          <w:sz w:val="36"/>
          <w:szCs w:val="36"/>
        </w:rPr>
      </w:pPr>
    </w:p>
    <w:p w14:paraId="073C5104">
      <w:pPr>
        <w:pStyle w:val="8"/>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bCs/>
          <w:color w:val="auto"/>
          <w:sz w:val="36"/>
          <w:szCs w:val="36"/>
        </w:rPr>
      </w:pPr>
    </w:p>
    <w:p w14:paraId="3786B3FA">
      <w:pPr>
        <w:pStyle w:val="8"/>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bCs/>
          <w:color w:val="auto"/>
          <w:sz w:val="36"/>
          <w:szCs w:val="36"/>
        </w:rPr>
      </w:pPr>
    </w:p>
    <w:p w14:paraId="79C3E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Autospacing="0" w:afterAutospacing="0" w:line="580" w:lineRule="exact"/>
        <w:ind w:left="0" w:right="0" w:firstLine="3253" w:firstLineChars="900"/>
        <w:jc w:val="both"/>
        <w:rPr>
          <w:rFonts w:hint="eastAsia" w:asciiTheme="minorEastAsia" w:hAnsiTheme="minorEastAsia" w:eastAsiaTheme="minorEastAsia" w:cstheme="minorEastAsia"/>
          <w:b/>
          <w:bCs/>
          <w:color w:val="auto"/>
          <w:kern w:val="0"/>
          <w:sz w:val="36"/>
          <w:szCs w:val="36"/>
          <w:shd w:val="clear" w:color="auto" w:fill="FFFFFF"/>
          <w:lang w:val="en-US" w:eastAsia="zh-CN" w:bidi="ar"/>
        </w:rPr>
      </w:pPr>
    </w:p>
    <w:p w14:paraId="1BEF5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Autospacing="0" w:afterAutospacing="0" w:line="580" w:lineRule="exact"/>
        <w:ind w:left="0" w:right="0" w:firstLine="3253" w:firstLineChars="900"/>
        <w:jc w:val="both"/>
        <w:rPr>
          <w:rFonts w:hint="eastAsia" w:asciiTheme="minorEastAsia" w:hAnsiTheme="minorEastAsia" w:eastAsiaTheme="minorEastAsia" w:cstheme="minorEastAsia"/>
          <w:b/>
          <w:bCs/>
          <w:color w:val="auto"/>
          <w:kern w:val="0"/>
          <w:sz w:val="36"/>
          <w:szCs w:val="36"/>
          <w:shd w:val="clear" w:color="auto" w:fill="FFFFFF"/>
          <w:lang w:val="en-US" w:eastAsia="zh-CN" w:bidi="ar"/>
        </w:rPr>
      </w:pPr>
    </w:p>
    <w:p w14:paraId="48D7E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Autospacing="0" w:afterAutospacing="0" w:line="580" w:lineRule="exact"/>
        <w:ind w:left="0" w:right="0" w:firstLine="3253" w:firstLineChars="900"/>
        <w:jc w:val="both"/>
        <w:rPr>
          <w:rFonts w:hint="eastAsia" w:asciiTheme="minorEastAsia" w:hAnsiTheme="minorEastAsia" w:eastAsiaTheme="minorEastAsia" w:cstheme="minorEastAsia"/>
          <w:b/>
          <w:bCs/>
          <w:color w:val="auto"/>
          <w:kern w:val="0"/>
          <w:sz w:val="36"/>
          <w:szCs w:val="36"/>
          <w:shd w:val="clear" w:color="auto" w:fill="FFFFFF"/>
          <w:lang w:val="en-US" w:eastAsia="zh-CN" w:bidi="ar"/>
        </w:rPr>
      </w:pPr>
    </w:p>
    <w:p w14:paraId="1C761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Autospacing="0" w:afterAutospacing="0" w:line="580" w:lineRule="exact"/>
        <w:ind w:left="0" w:right="0" w:firstLine="3253" w:firstLineChars="900"/>
        <w:jc w:val="both"/>
        <w:rPr>
          <w:rFonts w:hint="eastAsia" w:asciiTheme="minorEastAsia" w:hAnsiTheme="minorEastAsia" w:eastAsiaTheme="minorEastAsia" w:cstheme="minorEastAsia"/>
          <w:b/>
          <w:bCs/>
          <w:color w:val="auto"/>
          <w:kern w:val="0"/>
          <w:sz w:val="36"/>
          <w:szCs w:val="36"/>
          <w:shd w:val="clear" w:color="auto" w:fill="FFFFFF"/>
          <w:lang w:val="en-US" w:eastAsia="zh-CN" w:bidi="ar"/>
        </w:rPr>
      </w:pPr>
    </w:p>
    <w:p w14:paraId="69586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Autospacing="0" w:afterAutospacing="0" w:line="580" w:lineRule="exact"/>
        <w:ind w:left="0" w:right="0" w:firstLine="3253" w:firstLineChars="900"/>
        <w:jc w:val="both"/>
        <w:rPr>
          <w:rFonts w:hint="eastAsia" w:asciiTheme="minorEastAsia" w:hAnsiTheme="minorEastAsia" w:eastAsiaTheme="minorEastAsia" w:cstheme="minorEastAsia"/>
          <w:b/>
          <w:bCs/>
          <w:color w:val="auto"/>
          <w:kern w:val="0"/>
          <w:sz w:val="36"/>
          <w:szCs w:val="36"/>
          <w:shd w:val="clear" w:color="auto" w:fill="FFFFFF"/>
          <w:lang w:val="en-US" w:eastAsia="zh-CN" w:bidi="ar"/>
        </w:rPr>
      </w:pPr>
    </w:p>
    <w:p w14:paraId="0648A0E4">
      <w:pPr>
        <w:pStyle w:val="3"/>
        <w:bidi w:val="0"/>
        <w:jc w:val="center"/>
        <w:rPr>
          <w:rFonts w:hint="eastAsia" w:asciiTheme="minorEastAsia" w:hAnsiTheme="minorEastAsia" w:eastAsiaTheme="minorEastAsia" w:cstheme="minorEastAsia"/>
          <w:b/>
          <w:bCs/>
          <w:lang w:val="en-US" w:eastAsia="zh-CN"/>
        </w:rPr>
      </w:pPr>
    </w:p>
    <w:p w14:paraId="32F93002">
      <w:pPr>
        <w:pStyle w:val="3"/>
        <w:bidi w:val="0"/>
        <w:jc w:val="both"/>
        <w:rPr>
          <w:rFonts w:hint="eastAsia" w:asciiTheme="minorEastAsia" w:hAnsiTheme="minorEastAsia" w:eastAsiaTheme="minorEastAsia" w:cstheme="minorEastAsia"/>
          <w:b/>
          <w:bCs/>
          <w:lang w:val="en-US" w:eastAsia="zh-CN"/>
        </w:rPr>
      </w:pPr>
    </w:p>
    <w:p w14:paraId="0C90763F">
      <w:pPr>
        <w:pStyle w:val="3"/>
        <w:bidi w:val="0"/>
        <w:jc w:val="center"/>
        <w:rPr>
          <w:rFonts w:hint="eastAsia" w:asciiTheme="minorEastAsia" w:hAnsiTheme="minorEastAsia" w:eastAsiaTheme="minorEastAsia" w:cstheme="minorEastAsia"/>
          <w:b/>
          <w:bCs/>
          <w:lang w:val="en-US" w:eastAsia="zh-CN"/>
        </w:rPr>
      </w:pPr>
    </w:p>
    <w:p w14:paraId="39078131">
      <w:pPr>
        <w:rPr>
          <w:rFonts w:hint="eastAsia"/>
          <w:lang w:val="en-US" w:eastAsia="zh-CN"/>
        </w:rPr>
      </w:pPr>
    </w:p>
    <w:p w14:paraId="3173A148">
      <w:pPr>
        <w:pStyle w:val="3"/>
        <w:bidi w:val="0"/>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差旅费管理制度</w:t>
      </w:r>
    </w:p>
    <w:p w14:paraId="2E74AE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rightChars="0" w:firstLine="480" w:firstLineChars="20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为加强和规范差旅费管理，推进厉行节约反对浪费，根据《党政机关厉行节约反对浪费条例》，参照《吉林省省直机关差旅费管理办法》、《市财政局关于调整市直机关、事业单位差旅费标准的通知》，结合白城市医疗保障局工作实际，制定本制度。</w:t>
      </w:r>
    </w:p>
    <w:p w14:paraId="22B462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rightChars="0" w:firstLine="480" w:firstLineChars="20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第一条 本制度适用于医疗保障局各科室及直属事业单位（以下简称各单位）。</w:t>
      </w:r>
    </w:p>
    <w:p w14:paraId="16623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480" w:firstLineChars="20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第二条 公务出差应当坚持工作需要、事先审批、节约开支、务求实效的原则。</w:t>
      </w:r>
    </w:p>
    <w:p w14:paraId="4646A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480" w:firstLineChars="2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第三条 差旅费是指工作人员临时到常驻地以外地区公务出差所发生的城市间交通费、住宿费、伙食补助费和市内交通费。</w:t>
      </w:r>
    </w:p>
    <w:p w14:paraId="27522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第四条 各单位应从严控制公务出差人数和天数；严禁无实质内容、无明确公务目的的公务活动；严禁以任何名义和方式变相旅游；严禁异地部门间无实质内容的学习交流和考察调研；严控参加社会中介机构和各种社团名义的学习、考察、培训等活动。</w:t>
      </w:r>
    </w:p>
    <w:p w14:paraId="6D19A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第五条 严把审批关，因公出差应填写《公务出差审批单》，按相关规定办理审批手续。</w:t>
      </w:r>
    </w:p>
    <w:p w14:paraId="15246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480" w:firstLineChars="200"/>
        <w:jc w:val="both"/>
        <w:textAlignment w:val="auto"/>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第六条 特殊情况未能在出差前办理审批手续或公出需要延期的，需以电话方式请示相关领导同意，公出后按审批权限补办手续。</w:t>
      </w:r>
    </w:p>
    <w:p w14:paraId="3E305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firstLineChars="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第七条 到县(市)出差应当日返回，不在当地住宿，特殊情况不能返回的，需请示局主要领导同意。</w:t>
      </w:r>
    </w:p>
    <w:p w14:paraId="38E8A5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第八条 城市间交通费是指各单位人员因公临时到常驻地以外地区出差乘坐火车、轮船、飞机等交通工具所发生的费用。</w:t>
      </w:r>
    </w:p>
    <w:p w14:paraId="10EEF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第九条 出差人员应当按规定等级乘坐交通工具。出差人员乘坐交通工具等级按《市财政局关于调整市直机关、事业单位差旅费标准的通知》执行。</w:t>
      </w:r>
    </w:p>
    <w:p w14:paraId="38095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p>
    <w:tbl>
      <w:tblPr>
        <w:tblStyle w:val="15"/>
        <w:tblW w:w="8637" w:type="dxa"/>
        <w:jc w:val="center"/>
        <w:tblLayout w:type="autofit"/>
        <w:tblCellMar>
          <w:top w:w="0" w:type="dxa"/>
          <w:left w:w="0" w:type="dxa"/>
          <w:bottom w:w="0" w:type="dxa"/>
          <w:right w:w="0" w:type="dxa"/>
        </w:tblCellMar>
      </w:tblPr>
      <w:tblGrid>
        <w:gridCol w:w="2136"/>
        <w:gridCol w:w="2700"/>
        <w:gridCol w:w="1120"/>
        <w:gridCol w:w="750"/>
        <w:gridCol w:w="1931"/>
      </w:tblGrid>
      <w:tr w14:paraId="205C68D3">
        <w:tblPrEx>
          <w:tblCellMar>
            <w:top w:w="0" w:type="dxa"/>
            <w:left w:w="0" w:type="dxa"/>
            <w:bottom w:w="0" w:type="dxa"/>
            <w:right w:w="0" w:type="dxa"/>
          </w:tblCellMar>
        </w:tblPrEx>
        <w:trPr>
          <w:trHeight w:val="1561" w:hRule="atLeast"/>
          <w:jc w:val="center"/>
        </w:trPr>
        <w:tc>
          <w:tcPr>
            <w:tcW w:w="183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71D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         </w:t>
            </w:r>
          </w:p>
          <w:p w14:paraId="66CA2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级别 </w:t>
            </w:r>
          </w:p>
          <w:p w14:paraId="6BC4A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交通工具</w:t>
            </w:r>
          </w:p>
        </w:tc>
        <w:tc>
          <w:tcPr>
            <w:tcW w:w="284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B1B8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火车（含高铁、动车、全列软席列车）</w:t>
            </w:r>
          </w:p>
        </w:tc>
        <w:tc>
          <w:tcPr>
            <w:tcW w:w="115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B6DD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轮船（不包括旅游船）</w:t>
            </w:r>
          </w:p>
        </w:tc>
        <w:tc>
          <w:tcPr>
            <w:tcW w:w="77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A434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飞机</w:t>
            </w:r>
          </w:p>
        </w:tc>
        <w:tc>
          <w:tcPr>
            <w:tcW w:w="203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DA4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其他交通工具</w:t>
            </w:r>
          </w:p>
          <w:p w14:paraId="6610B2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（不包括出租小汽车）</w:t>
            </w:r>
          </w:p>
        </w:tc>
      </w:tr>
      <w:tr w14:paraId="6F3DE0DC">
        <w:tblPrEx>
          <w:tblCellMar>
            <w:top w:w="0" w:type="dxa"/>
            <w:left w:w="0" w:type="dxa"/>
            <w:bottom w:w="0" w:type="dxa"/>
            <w:right w:w="0" w:type="dxa"/>
          </w:tblCellMar>
        </w:tblPrEx>
        <w:trPr>
          <w:trHeight w:val="1561" w:hRule="atLeast"/>
          <w:jc w:val="center"/>
        </w:trPr>
        <w:tc>
          <w:tcPr>
            <w:tcW w:w="183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DB5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厅（局）级</w:t>
            </w:r>
          </w:p>
          <w:p w14:paraId="06CF6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及相当职务人员</w:t>
            </w:r>
          </w:p>
        </w:tc>
        <w:tc>
          <w:tcPr>
            <w:tcW w:w="2844" w:type="dxa"/>
            <w:tcBorders>
              <w:top w:val="nil"/>
              <w:left w:val="nil"/>
              <w:bottom w:val="single" w:color="auto" w:sz="8" w:space="0"/>
              <w:right w:val="single" w:color="auto" w:sz="8" w:space="0"/>
            </w:tcBorders>
            <w:noWrap w:val="0"/>
            <w:tcMar>
              <w:left w:w="108" w:type="dxa"/>
              <w:right w:w="108" w:type="dxa"/>
            </w:tcMar>
            <w:vAlign w:val="center"/>
          </w:tcPr>
          <w:p w14:paraId="511268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软席（软座、软卧），高铁/动车一等座，全列软席列车一等软座</w:t>
            </w:r>
          </w:p>
        </w:tc>
        <w:tc>
          <w:tcPr>
            <w:tcW w:w="1155" w:type="dxa"/>
            <w:tcBorders>
              <w:top w:val="nil"/>
              <w:left w:val="nil"/>
              <w:bottom w:val="single" w:color="auto" w:sz="8" w:space="0"/>
              <w:right w:val="single" w:color="auto" w:sz="8" w:space="0"/>
            </w:tcBorders>
            <w:noWrap w:val="0"/>
            <w:tcMar>
              <w:left w:w="108" w:type="dxa"/>
              <w:right w:w="108" w:type="dxa"/>
            </w:tcMar>
            <w:vAlign w:val="center"/>
          </w:tcPr>
          <w:p w14:paraId="72A89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二等舱</w:t>
            </w:r>
          </w:p>
        </w:tc>
        <w:tc>
          <w:tcPr>
            <w:tcW w:w="774" w:type="dxa"/>
            <w:tcBorders>
              <w:top w:val="nil"/>
              <w:left w:val="nil"/>
              <w:bottom w:val="single" w:color="auto" w:sz="8" w:space="0"/>
              <w:right w:val="single" w:color="auto" w:sz="8" w:space="0"/>
            </w:tcBorders>
            <w:noWrap w:val="0"/>
            <w:tcMar>
              <w:left w:w="108" w:type="dxa"/>
              <w:right w:w="108" w:type="dxa"/>
            </w:tcMar>
            <w:vAlign w:val="center"/>
          </w:tcPr>
          <w:p w14:paraId="70D2B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经济舱</w:t>
            </w:r>
          </w:p>
        </w:tc>
        <w:tc>
          <w:tcPr>
            <w:tcW w:w="2031" w:type="dxa"/>
            <w:tcBorders>
              <w:top w:val="nil"/>
              <w:left w:val="nil"/>
              <w:bottom w:val="single" w:color="auto" w:sz="8" w:space="0"/>
              <w:right w:val="single" w:color="auto" w:sz="8" w:space="0"/>
            </w:tcBorders>
            <w:noWrap w:val="0"/>
            <w:tcMar>
              <w:left w:w="108" w:type="dxa"/>
              <w:right w:w="108" w:type="dxa"/>
            </w:tcMar>
            <w:vAlign w:val="center"/>
          </w:tcPr>
          <w:p w14:paraId="4A0F1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凭据报销</w:t>
            </w:r>
          </w:p>
        </w:tc>
      </w:tr>
      <w:tr w14:paraId="5026C410">
        <w:tblPrEx>
          <w:tblCellMar>
            <w:top w:w="0" w:type="dxa"/>
            <w:left w:w="0" w:type="dxa"/>
            <w:bottom w:w="0" w:type="dxa"/>
            <w:right w:w="0" w:type="dxa"/>
          </w:tblCellMar>
        </w:tblPrEx>
        <w:trPr>
          <w:trHeight w:val="1280" w:hRule="atLeast"/>
          <w:jc w:val="center"/>
        </w:trPr>
        <w:tc>
          <w:tcPr>
            <w:tcW w:w="183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E19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其他人员</w:t>
            </w:r>
          </w:p>
        </w:tc>
        <w:tc>
          <w:tcPr>
            <w:tcW w:w="2844" w:type="dxa"/>
            <w:tcBorders>
              <w:top w:val="nil"/>
              <w:left w:val="nil"/>
              <w:bottom w:val="single" w:color="auto" w:sz="8" w:space="0"/>
              <w:right w:val="single" w:color="auto" w:sz="8" w:space="0"/>
            </w:tcBorders>
            <w:noWrap w:val="0"/>
            <w:tcMar>
              <w:left w:w="108" w:type="dxa"/>
              <w:right w:w="108" w:type="dxa"/>
            </w:tcMar>
            <w:vAlign w:val="center"/>
          </w:tcPr>
          <w:p w14:paraId="586286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硬席（硬座、硬卧），高铁/动车二等座，全列软席列车二等软座</w:t>
            </w:r>
          </w:p>
        </w:tc>
        <w:tc>
          <w:tcPr>
            <w:tcW w:w="1155" w:type="dxa"/>
            <w:tcBorders>
              <w:top w:val="nil"/>
              <w:left w:val="nil"/>
              <w:bottom w:val="single" w:color="auto" w:sz="8" w:space="0"/>
              <w:right w:val="single" w:color="auto" w:sz="8" w:space="0"/>
            </w:tcBorders>
            <w:noWrap w:val="0"/>
            <w:tcMar>
              <w:left w:w="108" w:type="dxa"/>
              <w:right w:w="108" w:type="dxa"/>
            </w:tcMar>
            <w:vAlign w:val="center"/>
          </w:tcPr>
          <w:p w14:paraId="17649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三等舱</w:t>
            </w:r>
          </w:p>
        </w:tc>
        <w:tc>
          <w:tcPr>
            <w:tcW w:w="774" w:type="dxa"/>
            <w:tcBorders>
              <w:top w:val="nil"/>
              <w:left w:val="nil"/>
              <w:bottom w:val="single" w:color="auto" w:sz="8" w:space="0"/>
              <w:right w:val="single" w:color="auto" w:sz="8" w:space="0"/>
            </w:tcBorders>
            <w:noWrap w:val="0"/>
            <w:tcMar>
              <w:left w:w="108" w:type="dxa"/>
              <w:right w:w="108" w:type="dxa"/>
            </w:tcMar>
            <w:vAlign w:val="center"/>
          </w:tcPr>
          <w:p w14:paraId="5A4F1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经济舱</w:t>
            </w:r>
          </w:p>
        </w:tc>
        <w:tc>
          <w:tcPr>
            <w:tcW w:w="2031" w:type="dxa"/>
            <w:tcBorders>
              <w:top w:val="nil"/>
              <w:left w:val="nil"/>
              <w:bottom w:val="single" w:color="auto" w:sz="8" w:space="0"/>
              <w:right w:val="single" w:color="auto" w:sz="8" w:space="0"/>
            </w:tcBorders>
            <w:noWrap w:val="0"/>
            <w:tcMar>
              <w:left w:w="108" w:type="dxa"/>
              <w:right w:w="108" w:type="dxa"/>
            </w:tcMar>
            <w:vAlign w:val="center"/>
          </w:tcPr>
          <w:p w14:paraId="7BC56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凭据报销</w:t>
            </w:r>
          </w:p>
        </w:tc>
      </w:tr>
    </w:tbl>
    <w:p w14:paraId="2EC6D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第十条 城市间交通费按乘坐交通工具的等级凭据报销，订票费、转签或退票费、交通意外保险费凭据报销。乘坐飞机的，民航发展基金、燃油附加费可以凭据报销。乘坐飞机、火车、轮船等交通工具的，每人可以购买交通意外保险一份。所在单位统一购买交通意外保险的，不再重复购买。</w:t>
      </w:r>
    </w:p>
    <w:p w14:paraId="71DEC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第十一条 住宿费是指工作人员因公临时出差期间入住宾馆（包括饭店、招待所等，下同）发生的房租费用。</w:t>
      </w:r>
    </w:p>
    <w:p w14:paraId="547FEF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第十二条 出差人员住宿费限额标准按《市财政局关于调整市直机关、事业单位差旅费标准的通知》执行。</w:t>
      </w:r>
    </w:p>
    <w:tbl>
      <w:tblPr>
        <w:tblStyle w:val="15"/>
        <w:tblW w:w="0" w:type="auto"/>
        <w:jc w:val="center"/>
        <w:tblLayout w:type="autofit"/>
        <w:tblCellMar>
          <w:top w:w="0" w:type="dxa"/>
          <w:left w:w="0" w:type="dxa"/>
          <w:bottom w:w="0" w:type="dxa"/>
          <w:right w:w="0" w:type="dxa"/>
        </w:tblCellMar>
      </w:tblPr>
      <w:tblGrid>
        <w:gridCol w:w="3118"/>
        <w:gridCol w:w="1702"/>
        <w:gridCol w:w="2727"/>
      </w:tblGrid>
      <w:tr w14:paraId="5AE8E3B8">
        <w:tblPrEx>
          <w:tblCellMar>
            <w:top w:w="0" w:type="dxa"/>
            <w:left w:w="0" w:type="dxa"/>
            <w:bottom w:w="0" w:type="dxa"/>
            <w:right w:w="0" w:type="dxa"/>
          </w:tblCellMar>
        </w:tblPrEx>
        <w:trPr>
          <w:trHeight w:val="486" w:hRule="atLeast"/>
          <w:jc w:val="center"/>
        </w:trPr>
        <w:tc>
          <w:tcPr>
            <w:tcW w:w="3118"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top"/>
          </w:tcPr>
          <w:p w14:paraId="16884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级 别</w:t>
            </w:r>
          </w:p>
        </w:tc>
        <w:tc>
          <w:tcPr>
            <w:tcW w:w="1702" w:type="dxa"/>
            <w:tcBorders>
              <w:top w:val="single" w:color="auto" w:sz="8" w:space="0"/>
              <w:left w:val="nil"/>
              <w:bottom w:val="single" w:color="auto" w:sz="8" w:space="0"/>
              <w:right w:val="single" w:color="auto" w:sz="8" w:space="0"/>
            </w:tcBorders>
            <w:noWrap w:val="0"/>
            <w:tcMar>
              <w:left w:w="108" w:type="dxa"/>
              <w:right w:w="108" w:type="dxa"/>
            </w:tcMar>
            <w:vAlign w:val="top"/>
          </w:tcPr>
          <w:p w14:paraId="511E9A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省 内（元/人天）</w:t>
            </w:r>
          </w:p>
        </w:tc>
        <w:tc>
          <w:tcPr>
            <w:tcW w:w="2727" w:type="dxa"/>
            <w:tcBorders>
              <w:top w:val="single" w:color="auto" w:sz="8" w:space="0"/>
              <w:left w:val="nil"/>
              <w:bottom w:val="single" w:color="auto" w:sz="8" w:space="0"/>
              <w:right w:val="single" w:color="auto" w:sz="8" w:space="0"/>
            </w:tcBorders>
            <w:noWrap w:val="0"/>
            <w:tcMar>
              <w:left w:w="108" w:type="dxa"/>
              <w:right w:w="108" w:type="dxa"/>
            </w:tcMar>
            <w:vAlign w:val="top"/>
          </w:tcPr>
          <w:p w14:paraId="082B1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省 外</w:t>
            </w:r>
          </w:p>
        </w:tc>
      </w:tr>
      <w:tr w14:paraId="60520A52">
        <w:tblPrEx>
          <w:tblCellMar>
            <w:top w:w="0" w:type="dxa"/>
            <w:left w:w="0" w:type="dxa"/>
            <w:bottom w:w="0" w:type="dxa"/>
            <w:right w:w="0" w:type="dxa"/>
          </w:tblCellMar>
        </w:tblPrEx>
        <w:trPr>
          <w:cantSplit/>
          <w:trHeight w:val="486" w:hRule="atLeast"/>
          <w:jc w:val="center"/>
        </w:trPr>
        <w:tc>
          <w:tcPr>
            <w:tcW w:w="311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5FD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厅（局）级及相当职务人员</w:t>
            </w:r>
          </w:p>
        </w:tc>
        <w:tc>
          <w:tcPr>
            <w:tcW w:w="1702" w:type="dxa"/>
            <w:tcBorders>
              <w:top w:val="nil"/>
              <w:left w:val="nil"/>
              <w:bottom w:val="single" w:color="auto" w:sz="8" w:space="0"/>
              <w:right w:val="single" w:color="auto" w:sz="8" w:space="0"/>
            </w:tcBorders>
            <w:noWrap w:val="0"/>
            <w:tcMar>
              <w:left w:w="108" w:type="dxa"/>
              <w:right w:w="108" w:type="dxa"/>
            </w:tcMar>
            <w:vAlign w:val="center"/>
          </w:tcPr>
          <w:p w14:paraId="12E08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450</w:t>
            </w:r>
          </w:p>
        </w:tc>
        <w:tc>
          <w:tcPr>
            <w:tcW w:w="2727" w:type="dxa"/>
            <w:vMerge w:val="restart"/>
            <w:tcBorders>
              <w:top w:val="nil"/>
              <w:left w:val="nil"/>
              <w:bottom w:val="single" w:color="auto" w:sz="8" w:space="0"/>
              <w:right w:val="single" w:color="auto" w:sz="8" w:space="0"/>
            </w:tcBorders>
            <w:noWrap w:val="0"/>
            <w:vAlign w:val="center"/>
          </w:tcPr>
          <w:p w14:paraId="56648F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执行财政部发布的</w:t>
            </w:r>
          </w:p>
          <w:p w14:paraId="1F54A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住宿费限额标准（见附表）</w:t>
            </w:r>
          </w:p>
        </w:tc>
      </w:tr>
      <w:tr w14:paraId="7653EA15">
        <w:tblPrEx>
          <w:tblCellMar>
            <w:top w:w="0" w:type="dxa"/>
            <w:left w:w="0" w:type="dxa"/>
            <w:bottom w:w="0" w:type="dxa"/>
            <w:right w:w="0" w:type="dxa"/>
          </w:tblCellMar>
        </w:tblPrEx>
        <w:trPr>
          <w:cantSplit/>
          <w:trHeight w:val="486" w:hRule="atLeast"/>
          <w:jc w:val="center"/>
        </w:trPr>
        <w:tc>
          <w:tcPr>
            <w:tcW w:w="3118" w:type="dxa"/>
            <w:tcBorders>
              <w:top w:val="nil"/>
              <w:left w:val="single" w:color="auto" w:sz="8" w:space="0"/>
              <w:bottom w:val="single" w:color="auto" w:sz="8" w:space="0"/>
              <w:right w:val="single" w:color="auto" w:sz="8" w:space="0"/>
            </w:tcBorders>
            <w:noWrap w:val="0"/>
            <w:tcMar>
              <w:left w:w="108" w:type="dxa"/>
              <w:right w:w="108" w:type="dxa"/>
            </w:tcMar>
            <w:vAlign w:val="top"/>
          </w:tcPr>
          <w:p w14:paraId="3F96F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其他人员</w:t>
            </w:r>
          </w:p>
        </w:tc>
        <w:tc>
          <w:tcPr>
            <w:tcW w:w="1702" w:type="dxa"/>
            <w:tcBorders>
              <w:top w:val="nil"/>
              <w:left w:val="nil"/>
              <w:bottom w:val="single" w:color="auto" w:sz="8" w:space="0"/>
              <w:right w:val="single" w:color="auto" w:sz="8" w:space="0"/>
            </w:tcBorders>
            <w:noWrap w:val="0"/>
            <w:tcMar>
              <w:left w:w="108" w:type="dxa"/>
              <w:right w:w="108" w:type="dxa"/>
            </w:tcMar>
            <w:vAlign w:val="top"/>
          </w:tcPr>
          <w:p w14:paraId="00E79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300</w:t>
            </w:r>
          </w:p>
        </w:tc>
        <w:tc>
          <w:tcPr>
            <w:tcW w:w="2727" w:type="dxa"/>
            <w:vMerge w:val="continue"/>
            <w:tcBorders>
              <w:top w:val="nil"/>
              <w:left w:val="nil"/>
              <w:bottom w:val="single" w:color="auto" w:sz="8" w:space="0"/>
              <w:right w:val="single" w:color="auto" w:sz="8" w:space="0"/>
            </w:tcBorders>
            <w:noWrap w:val="0"/>
            <w:vAlign w:val="center"/>
          </w:tcPr>
          <w:p w14:paraId="20787718">
            <w:pPr>
              <w:keepNext w:val="0"/>
              <w:keepLines w:val="0"/>
              <w:pageBreakBefore w:val="0"/>
              <w:kinsoku/>
              <w:wordWrap/>
              <w:overflowPunct/>
              <w:topLinePunct w:val="0"/>
              <w:autoSpaceDE/>
              <w:autoSpaceDN/>
              <w:bidi w:val="0"/>
              <w:adjustRightInd/>
              <w:snapToGrid/>
              <w:spacing w:line="580" w:lineRule="exact"/>
              <w:ind w:left="0"/>
              <w:jc w:val="both"/>
              <w:rPr>
                <w:rFonts w:hint="eastAsia" w:asciiTheme="minorEastAsia" w:hAnsiTheme="minorEastAsia" w:eastAsiaTheme="minorEastAsia" w:cstheme="minorEastAsia"/>
                <w:b w:val="0"/>
                <w:bCs w:val="0"/>
                <w:color w:val="auto"/>
                <w:sz w:val="24"/>
                <w:szCs w:val="24"/>
              </w:rPr>
            </w:pPr>
          </w:p>
        </w:tc>
      </w:tr>
    </w:tbl>
    <w:p w14:paraId="50CC9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第十三条 伙食补助费是指对工作人员在因公出差期间给予的伙食补助费用。</w:t>
      </w:r>
    </w:p>
    <w:p w14:paraId="52BC5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伙食补助费按出差自然（日历）天数计算，按规定标准包干使用，标准按《市财政局关于调整市直机关、事业单位差旅费标准的通知》执行。每人每天100元包干使用。</w:t>
      </w:r>
    </w:p>
    <w:p w14:paraId="587AD2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第十四条 出差人员应当自行用餐。凡由接待单位统一安排就餐的，应当向接待单位交纳伙食费。</w:t>
      </w:r>
    </w:p>
    <w:p w14:paraId="2B0B14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第十五条 市内交通费是指各单位工作人员因公临时出差期间发生的市内交通费用。</w:t>
      </w:r>
    </w:p>
    <w:p w14:paraId="027E7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第十六条 市内交通费按出差自然（日历）天数计算，标准按《市财政局关于调整市直机关、事业单位差旅费标准的通知》执行。每人每天80元包干使用。</w:t>
      </w:r>
    </w:p>
    <w:p w14:paraId="55C55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第十七条 出差人员由接待单位或其他单位提供交通工具的，应向接待单位或其他单位交纳相关费用。</w:t>
      </w:r>
    </w:p>
    <w:p w14:paraId="5B973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第十八条 财务应严格按规定审核差旅费开支，对未经审批或超范围的费用不予报销。未按规定等级、标准开支差旅费，超支部分由个人承担。</w:t>
      </w:r>
    </w:p>
    <w:p w14:paraId="3C73F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第十九条 工作人员公出结束后应当在3个工作日内办理报销手续。差旅费报销时应当提供公务出差审批单、机票、车票、船票、住宿费发票等凭证，因会议、培训出差要提供会议和培训的通知文件。</w:t>
      </w: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br w:type="textWrapping"/>
      </w: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第二十条 因公出差人员实际发生住宿而无住宿费发票的，不得报销住宿费以及城市间交通费、伙食补助费和市内交通费。</w:t>
      </w:r>
    </w:p>
    <w:p w14:paraId="19A6C8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第二十一条 因公出差人员自带交通工具的，不得报销市内交通费。</w:t>
      </w:r>
    </w:p>
    <w:p w14:paraId="692B5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第二十二条 工作人员外出参加会议、培训等，举办单位统一安排食宿的，会议、培训期间的食宿费和市内交通费由会议、培训举办单位按规定统一开支；往返会议、培训地点的差旅费由所在单位按本办法有关规定报销。</w:t>
      </w:r>
    </w:p>
    <w:p w14:paraId="79F4C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第二十三条 公出人员趁因公出差之便，绕道回家省亲办事和旅游观光所发生的费用不允许报销。</w:t>
      </w:r>
    </w:p>
    <w:p w14:paraId="691FE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2"/>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第二十四条 出差人员应当严格按规定开支差旅费，费用由所在单位承担，不得向下级单位、企业或其他单位转嫁。</w:t>
      </w:r>
    </w:p>
    <w:p w14:paraId="23718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2"/>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第二十五条 到外地实（见）习、工作锻炼、工作借用、支援的工作人员（组、队），报销费用时需提供相关文件或经本单位主要领导审批。</w:t>
      </w:r>
    </w:p>
    <w:p w14:paraId="007F78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2"/>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第二十六条 各单位应当自觉接受纪检、财政、审计部门监督检查，对检查中发现的问题及时改正；本单位对差旅费管理情况定期内审和自查，对违反规定的直接责任人和相关人员，视情节轻重进行问责。</w:t>
      </w:r>
    </w:p>
    <w:p w14:paraId="304CF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2"/>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第二十七条 </w:t>
      </w:r>
      <w:r>
        <w:rPr>
          <w:rStyle w:val="18"/>
          <w:rFonts w:hint="eastAsia" w:asciiTheme="minorEastAsia" w:hAnsiTheme="minorEastAsia" w:eastAsiaTheme="minorEastAsia" w:cstheme="minorEastAsia"/>
          <w:b w:val="0"/>
          <w:bCs w:val="0"/>
          <w:color w:val="auto"/>
          <w:sz w:val="24"/>
          <w:szCs w:val="24"/>
        </w:rPr>
        <w:t>本制度自发布之日起实施。</w:t>
      </w: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w:t>
      </w:r>
    </w:p>
    <w:p w14:paraId="3EFAC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w:t>
      </w:r>
    </w:p>
    <w:p w14:paraId="39CE8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附：1、中央和国家机关差旅费住宿费标准表</w:t>
      </w:r>
    </w:p>
    <w:p w14:paraId="6C2D5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r>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t xml:space="preserve">         2、公务出差审批</w:t>
      </w:r>
    </w:p>
    <w:p w14:paraId="6E685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bCs/>
          <w:color w:val="auto"/>
          <w:kern w:val="0"/>
          <w:sz w:val="28"/>
          <w:szCs w:val="28"/>
          <w:shd w:val="clear" w:color="auto" w:fill="FFFFFF"/>
          <w:lang w:val="en-US" w:eastAsia="zh-CN" w:bidi="ar"/>
        </w:rPr>
      </w:pPr>
    </w:p>
    <w:p w14:paraId="45A53922">
      <w:pPr>
        <w:pStyle w:val="2"/>
        <w:pageBreakBefore w:val="0"/>
        <w:kinsoku/>
        <w:overflowPunct/>
        <w:topLinePunct w:val="0"/>
        <w:bidi w:val="0"/>
        <w:spacing w:after="0" w:line="580" w:lineRule="exact"/>
        <w:jc w:val="both"/>
        <w:rPr>
          <w:rFonts w:hint="eastAsia" w:asciiTheme="minorEastAsia" w:hAnsiTheme="minorEastAsia" w:eastAsiaTheme="minorEastAsia" w:cstheme="minorEastAsia"/>
          <w:b/>
          <w:bCs/>
          <w:color w:val="auto"/>
          <w:kern w:val="0"/>
          <w:sz w:val="28"/>
          <w:szCs w:val="28"/>
          <w:shd w:val="clear" w:color="auto" w:fill="FFFFFF"/>
          <w:lang w:val="en-US" w:eastAsia="zh-CN" w:bidi="ar"/>
        </w:rPr>
      </w:pPr>
    </w:p>
    <w:p w14:paraId="21039D63">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kern w:val="0"/>
          <w:sz w:val="28"/>
          <w:szCs w:val="28"/>
          <w:shd w:val="clear" w:color="auto" w:fill="FFFFFF"/>
          <w:lang w:val="en-US" w:eastAsia="zh-CN" w:bidi="ar"/>
        </w:rPr>
      </w:pPr>
    </w:p>
    <w:p w14:paraId="313F68F2">
      <w:pPr>
        <w:pStyle w:val="2"/>
        <w:pageBreakBefore w:val="0"/>
        <w:kinsoku/>
        <w:overflowPunct/>
        <w:topLinePunct w:val="0"/>
        <w:bidi w:val="0"/>
        <w:spacing w:after="0" w:line="580" w:lineRule="exact"/>
        <w:jc w:val="both"/>
        <w:rPr>
          <w:rFonts w:hint="eastAsia" w:asciiTheme="minorEastAsia" w:hAnsiTheme="minorEastAsia" w:eastAsiaTheme="minorEastAsia" w:cstheme="minorEastAsia"/>
          <w:b/>
          <w:bCs/>
          <w:color w:val="auto"/>
          <w:kern w:val="0"/>
          <w:sz w:val="28"/>
          <w:szCs w:val="28"/>
          <w:shd w:val="clear" w:color="auto" w:fill="FFFFFF"/>
          <w:lang w:val="en-US" w:eastAsia="zh-CN" w:bidi="ar"/>
        </w:rPr>
      </w:pPr>
    </w:p>
    <w:p w14:paraId="649BACF3">
      <w:pPr>
        <w:pageBreakBefore w:val="0"/>
        <w:kinsoku/>
        <w:overflowPunct/>
        <w:topLinePunct w:val="0"/>
        <w:bidi w:val="0"/>
        <w:spacing w:line="580" w:lineRule="exact"/>
        <w:jc w:val="both"/>
        <w:rPr>
          <w:rFonts w:hint="eastAsia" w:asciiTheme="minorEastAsia" w:hAnsiTheme="minorEastAsia" w:eastAsiaTheme="minorEastAsia" w:cstheme="minorEastAsia"/>
          <w:b/>
          <w:bCs/>
          <w:color w:val="auto"/>
          <w:kern w:val="0"/>
          <w:sz w:val="28"/>
          <w:szCs w:val="28"/>
          <w:shd w:val="clear" w:color="auto" w:fill="FFFFFF"/>
          <w:lang w:val="en-US" w:eastAsia="zh-CN" w:bidi="ar"/>
        </w:rPr>
      </w:pPr>
    </w:p>
    <w:p w14:paraId="54B4F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bCs/>
          <w:color w:val="auto"/>
          <w:kern w:val="0"/>
          <w:sz w:val="28"/>
          <w:szCs w:val="28"/>
          <w:shd w:val="clear" w:color="auto" w:fill="FFFFFF"/>
          <w:lang w:val="en-US" w:eastAsia="zh-CN" w:bidi="ar"/>
        </w:rPr>
      </w:pPr>
    </w:p>
    <w:p w14:paraId="1F2824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shd w:val="clear" w:color="auto" w:fill="FFFFFF"/>
          <w:lang w:val="en-US" w:eastAsia="zh-CN" w:bidi="ar"/>
        </w:rPr>
        <w:t>附1：    中央和国家机关差旅住宿费标准表</w:t>
      </w:r>
    </w:p>
    <w:tbl>
      <w:tblPr>
        <w:tblStyle w:val="15"/>
        <w:tblW w:w="0" w:type="auto"/>
        <w:tblInd w:w="0" w:type="dxa"/>
        <w:tblLayout w:type="autofit"/>
        <w:tblCellMar>
          <w:top w:w="0" w:type="dxa"/>
          <w:left w:w="0" w:type="dxa"/>
          <w:bottom w:w="0" w:type="dxa"/>
          <w:right w:w="0" w:type="dxa"/>
        </w:tblCellMar>
      </w:tblPr>
      <w:tblGrid>
        <w:gridCol w:w="1565"/>
        <w:gridCol w:w="1969"/>
        <w:gridCol w:w="2312"/>
        <w:gridCol w:w="2433"/>
      </w:tblGrid>
      <w:tr w14:paraId="5F5FF830">
        <w:tblPrEx>
          <w:tblCellMar>
            <w:top w:w="0" w:type="dxa"/>
            <w:left w:w="0" w:type="dxa"/>
            <w:bottom w:w="0" w:type="dxa"/>
            <w:right w:w="0" w:type="dxa"/>
          </w:tblCellMar>
        </w:tblPrEx>
        <w:trPr>
          <w:trHeight w:val="90" w:hRule="atLeast"/>
        </w:trPr>
        <w:tc>
          <w:tcPr>
            <w:tcW w:w="1565" w:type="dxa"/>
            <w:vMerge w:val="restart"/>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14:paraId="01327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省份　</w:t>
            </w:r>
          </w:p>
        </w:tc>
        <w:tc>
          <w:tcPr>
            <w:tcW w:w="6714" w:type="dxa"/>
            <w:gridSpan w:val="3"/>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630DA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住宿费标准</w:t>
            </w:r>
          </w:p>
        </w:tc>
      </w:tr>
      <w:tr w14:paraId="594F18C6">
        <w:tblPrEx>
          <w:tblCellMar>
            <w:top w:w="0" w:type="dxa"/>
            <w:left w:w="0" w:type="dxa"/>
            <w:bottom w:w="0" w:type="dxa"/>
            <w:right w:w="0" w:type="dxa"/>
          </w:tblCellMar>
        </w:tblPrEx>
        <w:trPr>
          <w:trHeight w:val="90" w:hRule="atLeast"/>
        </w:trPr>
        <w:tc>
          <w:tcPr>
            <w:tcW w:w="1565"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right w:w="15" w:type="dxa"/>
            </w:tcMar>
            <w:vAlign w:val="center"/>
          </w:tcPr>
          <w:p w14:paraId="06653410">
            <w:pPr>
              <w:keepNext w:val="0"/>
              <w:keepLines w:val="0"/>
              <w:pageBreakBefore w:val="0"/>
              <w:kinsoku/>
              <w:wordWrap/>
              <w:overflowPunct/>
              <w:topLinePunct w:val="0"/>
              <w:autoSpaceDE/>
              <w:autoSpaceDN/>
              <w:bidi w:val="0"/>
              <w:adjustRightInd/>
              <w:snapToGrid/>
              <w:spacing w:line="580" w:lineRule="exact"/>
              <w:ind w:left="0"/>
              <w:jc w:val="both"/>
              <w:rPr>
                <w:rFonts w:hint="eastAsia" w:asciiTheme="minorEastAsia" w:hAnsiTheme="minorEastAsia" w:eastAsiaTheme="minorEastAsia" w:cstheme="minorEastAsia"/>
                <w:b w:val="0"/>
                <w:bCs w:val="0"/>
                <w:color w:val="auto"/>
                <w:sz w:val="24"/>
                <w:szCs w:val="24"/>
              </w:rPr>
            </w:pP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7F99B8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部级(普通套间)</w:t>
            </w:r>
          </w:p>
        </w:tc>
        <w:tc>
          <w:tcPr>
            <w:tcW w:w="2312"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1FE22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司局级（单间或标准间）</w:t>
            </w:r>
          </w:p>
        </w:tc>
        <w:tc>
          <w:tcPr>
            <w:tcW w:w="2433" w:type="dxa"/>
            <w:tcBorders>
              <w:top w:val="single" w:color="auto" w:sz="8" w:space="0"/>
              <w:left w:val="nil"/>
              <w:bottom w:val="single" w:color="auto" w:sz="8" w:space="0"/>
              <w:right w:val="single" w:color="auto" w:sz="8" w:space="0"/>
            </w:tcBorders>
            <w:noWrap w:val="0"/>
            <w:tcMar>
              <w:top w:w="15" w:type="dxa"/>
              <w:left w:w="15" w:type="dxa"/>
              <w:right w:w="15" w:type="dxa"/>
            </w:tcMar>
            <w:vAlign w:val="center"/>
          </w:tcPr>
          <w:p w14:paraId="74D22E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其他人员（单间或标准间）</w:t>
            </w:r>
          </w:p>
        </w:tc>
      </w:tr>
      <w:tr w14:paraId="106221BB">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25672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北京</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3885A3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2CAE9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500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05FB0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350</w:t>
            </w:r>
          </w:p>
        </w:tc>
      </w:tr>
      <w:tr w14:paraId="1B6810FA">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46896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天津</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671F0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64027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450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F32D9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320</w:t>
            </w:r>
          </w:p>
        </w:tc>
      </w:tr>
      <w:tr w14:paraId="3D894CE7">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23A4F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河北</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6DE30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65E79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450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766A6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310</w:t>
            </w:r>
          </w:p>
        </w:tc>
      </w:tr>
      <w:tr w14:paraId="4AAB916A">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0A3D0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山西</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2D8D9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B4DA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50241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310</w:t>
            </w:r>
          </w:p>
        </w:tc>
      </w:tr>
      <w:tr w14:paraId="27988108">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6B021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内蒙古</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31018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22E45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460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7CFEF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320</w:t>
            </w:r>
          </w:p>
        </w:tc>
      </w:tr>
      <w:tr w14:paraId="386B04B0">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6CB28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辽宁</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12A1D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A4D6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0341D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6AA79878">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5EEA3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大连</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715F59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49D53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490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0374F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340</w:t>
            </w:r>
          </w:p>
        </w:tc>
      </w:tr>
      <w:tr w14:paraId="4F0CCA12">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70E7C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黑龙江</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671D7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4B877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450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324A8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310</w:t>
            </w:r>
          </w:p>
        </w:tc>
      </w:tr>
      <w:tr w14:paraId="345E36A7">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0E0EE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上海</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0EC9C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68AA2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500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C362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350</w:t>
            </w:r>
          </w:p>
        </w:tc>
      </w:tr>
      <w:tr w14:paraId="092396C2">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4DCD0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江苏</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189CA9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6B378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490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20F38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340</w:t>
            </w:r>
          </w:p>
        </w:tc>
      </w:tr>
      <w:tr w14:paraId="6A2DD31C">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560FA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浙江</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48788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6D776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490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1EBC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340</w:t>
            </w:r>
          </w:p>
        </w:tc>
      </w:tr>
      <w:tr w14:paraId="74359D9A">
        <w:tblPrEx>
          <w:tblCellMar>
            <w:top w:w="0" w:type="dxa"/>
            <w:left w:w="0" w:type="dxa"/>
            <w:bottom w:w="0" w:type="dxa"/>
            <w:right w:w="0" w:type="dxa"/>
          </w:tblCellMar>
        </w:tblPrEx>
        <w:trPr>
          <w:trHeight w:val="405"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272715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宁波</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51D11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F3D9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450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4652E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1E3ABC96">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0B64B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安徽</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1AA7E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297C9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460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5975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310</w:t>
            </w:r>
          </w:p>
        </w:tc>
      </w:tr>
      <w:tr w14:paraId="0114EE44">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425D3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福建</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497E3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0E7E7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49D20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7886CE80">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25818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厦门</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599C0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4204E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490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2F443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340</w:t>
            </w:r>
          </w:p>
        </w:tc>
      </w:tr>
      <w:tr w14:paraId="4294E53B">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760D7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江西</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7AC02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00052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470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21C06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320</w:t>
            </w:r>
          </w:p>
        </w:tc>
      </w:tr>
      <w:tr w14:paraId="7D829632">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37072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山东</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2ACAB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5049A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6CE2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77EB2208">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05B3D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青岛</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4C1AF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C7F5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490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74C15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340</w:t>
            </w:r>
          </w:p>
        </w:tc>
      </w:tr>
      <w:tr w14:paraId="70456EA1">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0650C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河南</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1B3F7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0B5F7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2C8AE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29CFE6BE">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34478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湖北</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04124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ED13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2D8C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320</w:t>
            </w:r>
          </w:p>
        </w:tc>
      </w:tr>
      <w:tr w14:paraId="1B1E3210">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1EAF2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湖南</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3130E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4BE6A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450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5962F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6B0710CB">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6E02D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广东</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616BA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30187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490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6F9B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340</w:t>
            </w:r>
          </w:p>
        </w:tc>
      </w:tr>
      <w:tr w14:paraId="012CD9C4">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3A264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深圳</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22EE4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C1AF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500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537F7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350</w:t>
            </w:r>
          </w:p>
        </w:tc>
      </w:tr>
      <w:tr w14:paraId="73A07F45">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3EE39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广西</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0DE4B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1A09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470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73FF0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6550526E">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24FDD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海南</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5F7E0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59165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500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B823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350</w:t>
            </w:r>
          </w:p>
        </w:tc>
      </w:tr>
      <w:tr w14:paraId="41B3952C">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37A9B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重庆</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15CAD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D18E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625EB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5B1CA10D">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3857A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四川</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13B35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26C4F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470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26EB8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320</w:t>
            </w:r>
          </w:p>
        </w:tc>
      </w:tr>
      <w:tr w14:paraId="786E0EA1">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59CCA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贵州</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65188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5C98D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470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71014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320</w:t>
            </w:r>
          </w:p>
        </w:tc>
      </w:tr>
      <w:tr w14:paraId="74449CB2">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05530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云南</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5CB1B2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F021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60103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19861582">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596E8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西藏</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754A4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4FB80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500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2A01F0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350</w:t>
            </w:r>
          </w:p>
        </w:tc>
      </w:tr>
      <w:tr w14:paraId="71076AA9">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3C28E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陕西</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7D114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1EC39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460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6F334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320</w:t>
            </w:r>
          </w:p>
        </w:tc>
      </w:tr>
      <w:tr w14:paraId="162BE39B">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270B5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甘肃</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5971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3B0A3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470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3F75D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274DBB7A">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7281E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青海</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5D5DC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78EFA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500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1C2FB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350</w:t>
            </w:r>
          </w:p>
        </w:tc>
      </w:tr>
      <w:tr w14:paraId="688BE3B1">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13A5C7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宁夏</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35715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59F4A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470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77E3A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330</w:t>
            </w:r>
          </w:p>
        </w:tc>
      </w:tr>
      <w:tr w14:paraId="4DB1190C">
        <w:tblPrEx>
          <w:tblCellMar>
            <w:top w:w="0" w:type="dxa"/>
            <w:left w:w="0" w:type="dxa"/>
            <w:bottom w:w="0" w:type="dxa"/>
            <w:right w:w="0" w:type="dxa"/>
          </w:tblCellMar>
        </w:tblPrEx>
        <w:trPr>
          <w:trHeight w:val="90" w:hRule="atLeast"/>
        </w:trPr>
        <w:tc>
          <w:tcPr>
            <w:tcW w:w="1565" w:type="dxa"/>
            <w:tcBorders>
              <w:top w:val="nil"/>
              <w:left w:val="single" w:color="auto" w:sz="8" w:space="0"/>
              <w:bottom w:val="single" w:color="auto" w:sz="8" w:space="0"/>
              <w:right w:val="single" w:color="auto" w:sz="8" w:space="0"/>
            </w:tcBorders>
            <w:noWrap w:val="0"/>
            <w:tcMar>
              <w:top w:w="15" w:type="dxa"/>
              <w:left w:w="15" w:type="dxa"/>
              <w:right w:w="15" w:type="dxa"/>
            </w:tcMar>
            <w:vAlign w:val="center"/>
          </w:tcPr>
          <w:p w14:paraId="6F48C6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新疆</w:t>
            </w:r>
          </w:p>
        </w:tc>
        <w:tc>
          <w:tcPr>
            <w:tcW w:w="1969" w:type="dxa"/>
            <w:tcBorders>
              <w:top w:val="nil"/>
              <w:left w:val="nil"/>
              <w:bottom w:val="single" w:color="auto" w:sz="8" w:space="0"/>
              <w:right w:val="single" w:color="auto" w:sz="8" w:space="0"/>
            </w:tcBorders>
            <w:noWrap w:val="0"/>
            <w:tcMar>
              <w:top w:w="15" w:type="dxa"/>
              <w:left w:w="15" w:type="dxa"/>
              <w:right w:w="15" w:type="dxa"/>
            </w:tcMar>
            <w:vAlign w:val="center"/>
          </w:tcPr>
          <w:p w14:paraId="255D9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800</w:t>
            </w:r>
          </w:p>
        </w:tc>
        <w:tc>
          <w:tcPr>
            <w:tcW w:w="2312" w:type="dxa"/>
            <w:tcBorders>
              <w:top w:val="nil"/>
              <w:left w:val="nil"/>
              <w:bottom w:val="single" w:color="auto" w:sz="8" w:space="0"/>
              <w:right w:val="single" w:color="auto" w:sz="8" w:space="0"/>
            </w:tcBorders>
            <w:noWrap w:val="0"/>
            <w:tcMar>
              <w:top w:w="15" w:type="dxa"/>
              <w:left w:w="15" w:type="dxa"/>
              <w:right w:w="15" w:type="dxa"/>
            </w:tcMar>
            <w:vAlign w:val="center"/>
          </w:tcPr>
          <w:p w14:paraId="2751FC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480</w:t>
            </w:r>
          </w:p>
        </w:tc>
        <w:tc>
          <w:tcPr>
            <w:tcW w:w="2433" w:type="dxa"/>
            <w:tcBorders>
              <w:top w:val="nil"/>
              <w:left w:val="nil"/>
              <w:bottom w:val="single" w:color="auto" w:sz="8" w:space="0"/>
              <w:right w:val="single" w:color="auto" w:sz="8" w:space="0"/>
            </w:tcBorders>
            <w:noWrap w:val="0"/>
            <w:tcMar>
              <w:top w:w="15" w:type="dxa"/>
              <w:left w:w="15" w:type="dxa"/>
              <w:right w:w="15" w:type="dxa"/>
            </w:tcMar>
            <w:vAlign w:val="center"/>
          </w:tcPr>
          <w:p w14:paraId="4511D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340</w:t>
            </w:r>
          </w:p>
        </w:tc>
      </w:tr>
    </w:tbl>
    <w:p w14:paraId="48DA1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p>
    <w:p w14:paraId="438BF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p>
    <w:p w14:paraId="4688F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p>
    <w:p w14:paraId="1F94DC7C">
      <w:pPr>
        <w:bidi w:val="0"/>
        <w:rPr>
          <w:rFonts w:hint="eastAsia" w:asciiTheme="minorEastAsia" w:hAnsiTheme="minorEastAsia" w:eastAsiaTheme="minorEastAsia" w:cstheme="minorEastAsia"/>
          <w:b w:val="0"/>
          <w:bCs w:val="0"/>
          <w:sz w:val="24"/>
          <w:szCs w:val="24"/>
          <w:lang w:val="en-US" w:eastAsia="zh-CN"/>
        </w:rPr>
      </w:pPr>
    </w:p>
    <w:p w14:paraId="71F45A85">
      <w:pPr>
        <w:bidi w:val="0"/>
        <w:rPr>
          <w:rFonts w:hint="eastAsia" w:asciiTheme="minorEastAsia" w:hAnsiTheme="minorEastAsia" w:eastAsiaTheme="minorEastAsia" w:cstheme="minorEastAsia"/>
          <w:b w:val="0"/>
          <w:bCs w:val="0"/>
          <w:sz w:val="24"/>
          <w:szCs w:val="24"/>
          <w:lang w:val="en-US" w:eastAsia="zh-CN"/>
        </w:rPr>
      </w:pPr>
    </w:p>
    <w:p w14:paraId="6E1A25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jc w:val="both"/>
        <w:rPr>
          <w:rFonts w:hint="eastAsia" w:asciiTheme="minorEastAsia" w:hAnsiTheme="minorEastAsia" w:eastAsiaTheme="minorEastAsia" w:cstheme="minorEastAsia"/>
          <w:b w:val="0"/>
          <w:bCs w:val="0"/>
          <w:color w:val="auto"/>
          <w:kern w:val="0"/>
          <w:sz w:val="24"/>
          <w:szCs w:val="24"/>
          <w:shd w:val="clear" w:color="auto" w:fill="FFFFFF"/>
          <w:lang w:val="en-US" w:eastAsia="zh-CN" w:bidi="ar"/>
        </w:rPr>
      </w:pPr>
    </w:p>
    <w:tbl>
      <w:tblPr>
        <w:tblStyle w:val="15"/>
        <w:tblpPr w:leftFromText="180" w:rightFromText="180" w:vertAnchor="text" w:tblpXSpec="left" w:tblpY="213"/>
        <w:tblOverlap w:val="never"/>
        <w:tblW w:w="0" w:type="auto"/>
        <w:tblInd w:w="0" w:type="dxa"/>
        <w:tblLayout w:type="autofit"/>
        <w:tblCellMar>
          <w:top w:w="0" w:type="dxa"/>
          <w:left w:w="0" w:type="dxa"/>
          <w:bottom w:w="0" w:type="dxa"/>
          <w:right w:w="0" w:type="dxa"/>
        </w:tblCellMar>
      </w:tblPr>
      <w:tblGrid>
        <w:gridCol w:w="1715"/>
        <w:gridCol w:w="4739"/>
        <w:gridCol w:w="275"/>
        <w:gridCol w:w="1606"/>
      </w:tblGrid>
      <w:tr w14:paraId="4BC97A62">
        <w:tblPrEx>
          <w:tblCellMar>
            <w:top w:w="0" w:type="dxa"/>
            <w:left w:w="0" w:type="dxa"/>
            <w:bottom w:w="0" w:type="dxa"/>
            <w:right w:w="0" w:type="dxa"/>
          </w:tblCellMar>
        </w:tblPrEx>
        <w:trPr>
          <w:trHeight w:val="900" w:hRule="atLeast"/>
        </w:trPr>
        <w:tc>
          <w:tcPr>
            <w:tcW w:w="8335" w:type="dxa"/>
            <w:gridSpan w:val="4"/>
            <w:noWrap w:val="0"/>
            <w:tcMar>
              <w:top w:w="15" w:type="dxa"/>
              <w:left w:w="15" w:type="dxa"/>
              <w:bottom w:w="15" w:type="dxa"/>
              <w:right w:w="15" w:type="dxa"/>
            </w:tcMar>
            <w:vAlign w:val="center"/>
          </w:tcPr>
          <w:p w14:paraId="1A6BF5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shd w:val="clear" w:color="auto" w:fill="FFFFFF"/>
                <w:lang w:val="en-US" w:eastAsia="zh-CN" w:bidi="ar"/>
              </w:rPr>
              <w:t xml:space="preserve">附2：        </w:t>
            </w:r>
            <w:r>
              <w:rPr>
                <w:rFonts w:hint="eastAsia" w:asciiTheme="minorEastAsia" w:hAnsiTheme="minorEastAsia" w:eastAsiaTheme="minorEastAsia" w:cstheme="minorEastAsia"/>
                <w:b/>
                <w:bCs/>
                <w:color w:val="auto"/>
                <w:kern w:val="0"/>
                <w:sz w:val="24"/>
                <w:szCs w:val="24"/>
                <w:lang w:val="en-US" w:eastAsia="zh-CN" w:bidi="ar"/>
              </w:rPr>
              <w:t>公 务 出 差 审 批 单</w:t>
            </w:r>
          </w:p>
        </w:tc>
      </w:tr>
      <w:tr w14:paraId="58BC1EF7">
        <w:tblPrEx>
          <w:tblCellMar>
            <w:top w:w="0" w:type="dxa"/>
            <w:left w:w="0" w:type="dxa"/>
            <w:bottom w:w="0" w:type="dxa"/>
            <w:right w:w="0" w:type="dxa"/>
          </w:tblCellMar>
        </w:tblPrEx>
        <w:trPr>
          <w:trHeight w:val="840" w:hRule="atLeast"/>
        </w:trPr>
        <w:tc>
          <w:tcPr>
            <w:tcW w:w="1715" w:type="dxa"/>
            <w:tcBorders>
              <w:top w:val="single" w:color="auto" w:sz="8" w:space="0"/>
              <w:left w:val="single" w:color="auto" w:sz="8" w:space="0"/>
              <w:bottom w:val="single" w:color="auto" w:sz="8" w:space="0"/>
              <w:right w:val="nil"/>
            </w:tcBorders>
            <w:noWrap w:val="0"/>
            <w:tcMar>
              <w:top w:w="15" w:type="dxa"/>
              <w:left w:w="15" w:type="dxa"/>
              <w:bottom w:w="15" w:type="dxa"/>
              <w:right w:w="15" w:type="dxa"/>
            </w:tcMar>
            <w:vAlign w:val="center"/>
          </w:tcPr>
          <w:p w14:paraId="120658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公出人姓名</w:t>
            </w:r>
          </w:p>
        </w:tc>
        <w:tc>
          <w:tcPr>
            <w:tcW w:w="501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5A92C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w:t>
            </w:r>
          </w:p>
        </w:tc>
        <w:tc>
          <w:tcPr>
            <w:tcW w:w="1606" w:type="dxa"/>
            <w:tcBorders>
              <w:top w:val="single" w:color="auto" w:sz="8" w:space="0"/>
              <w:left w:val="nil"/>
              <w:bottom w:val="nil"/>
              <w:right w:val="single" w:color="auto" w:sz="8" w:space="0"/>
            </w:tcBorders>
            <w:noWrap w:val="0"/>
            <w:tcMar>
              <w:top w:w="15" w:type="dxa"/>
              <w:left w:w="15" w:type="dxa"/>
              <w:bottom w:w="15" w:type="dxa"/>
              <w:right w:w="15" w:type="dxa"/>
            </w:tcMar>
            <w:vAlign w:val="center"/>
          </w:tcPr>
          <w:p w14:paraId="422E12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备 注</w:t>
            </w:r>
          </w:p>
        </w:tc>
      </w:tr>
      <w:tr w14:paraId="208CDF2F">
        <w:tblPrEx>
          <w:tblCellMar>
            <w:top w:w="0" w:type="dxa"/>
            <w:left w:w="0" w:type="dxa"/>
            <w:bottom w:w="0" w:type="dxa"/>
            <w:right w:w="0" w:type="dxa"/>
          </w:tblCellMar>
        </w:tblPrEx>
        <w:trPr>
          <w:trHeight w:val="840" w:hRule="atLeast"/>
        </w:trPr>
        <w:tc>
          <w:tcPr>
            <w:tcW w:w="1715" w:type="dxa"/>
            <w:tcBorders>
              <w:top w:val="nil"/>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4316A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公出目的地</w:t>
            </w:r>
          </w:p>
        </w:tc>
        <w:tc>
          <w:tcPr>
            <w:tcW w:w="5014" w:type="dxa"/>
            <w:gridSpan w:val="2"/>
            <w:tcBorders>
              <w:top w:val="nil"/>
              <w:left w:val="nil"/>
              <w:bottom w:val="single" w:color="auto" w:sz="8" w:space="0"/>
              <w:right w:val="single" w:color="auto" w:sz="8" w:space="0"/>
            </w:tcBorders>
            <w:noWrap w:val="0"/>
            <w:tcMar>
              <w:top w:w="15" w:type="dxa"/>
              <w:left w:w="15" w:type="dxa"/>
              <w:bottom w:w="15" w:type="dxa"/>
              <w:right w:w="15" w:type="dxa"/>
            </w:tcMar>
            <w:vAlign w:val="center"/>
          </w:tcPr>
          <w:p w14:paraId="109BCC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w:t>
            </w:r>
          </w:p>
        </w:tc>
        <w:tc>
          <w:tcPr>
            <w:tcW w:w="1606" w:type="dxa"/>
            <w:vMerge w:val="restart"/>
            <w:tcBorders>
              <w:top w:val="nil"/>
              <w:left w:val="nil"/>
              <w:bottom w:val="single" w:color="auto" w:sz="8" w:space="0"/>
              <w:right w:val="single" w:color="auto" w:sz="8" w:space="0"/>
            </w:tcBorders>
            <w:noWrap w:val="0"/>
            <w:tcMar>
              <w:top w:w="15" w:type="dxa"/>
              <w:left w:w="15" w:type="dxa"/>
              <w:bottom w:w="15" w:type="dxa"/>
              <w:right w:w="15" w:type="dxa"/>
            </w:tcMar>
            <w:vAlign w:val="top"/>
          </w:tcPr>
          <w:p w14:paraId="591DB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w:t>
            </w:r>
          </w:p>
        </w:tc>
      </w:tr>
      <w:tr w14:paraId="22EFA3F3">
        <w:tblPrEx>
          <w:tblCellMar>
            <w:top w:w="0" w:type="dxa"/>
            <w:left w:w="0" w:type="dxa"/>
            <w:bottom w:w="0" w:type="dxa"/>
            <w:right w:w="0" w:type="dxa"/>
          </w:tblCellMar>
        </w:tblPrEx>
        <w:trPr>
          <w:trHeight w:val="840" w:hRule="atLeast"/>
        </w:trPr>
        <w:tc>
          <w:tcPr>
            <w:tcW w:w="1715" w:type="dxa"/>
            <w:tcBorders>
              <w:top w:val="nil"/>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1395B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公出事由</w:t>
            </w:r>
          </w:p>
        </w:tc>
        <w:tc>
          <w:tcPr>
            <w:tcW w:w="5014" w:type="dxa"/>
            <w:gridSpan w:val="2"/>
            <w:tcBorders>
              <w:top w:val="nil"/>
              <w:left w:val="nil"/>
              <w:bottom w:val="single" w:color="auto" w:sz="8" w:space="0"/>
              <w:right w:val="single" w:color="auto" w:sz="8" w:space="0"/>
            </w:tcBorders>
            <w:noWrap w:val="0"/>
            <w:tcMar>
              <w:top w:w="15" w:type="dxa"/>
              <w:left w:w="15" w:type="dxa"/>
              <w:bottom w:w="15" w:type="dxa"/>
              <w:right w:w="15" w:type="dxa"/>
            </w:tcMar>
            <w:vAlign w:val="center"/>
          </w:tcPr>
          <w:p w14:paraId="57ED6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w:t>
            </w:r>
          </w:p>
        </w:tc>
        <w:tc>
          <w:tcPr>
            <w:tcW w:w="1606" w:type="dxa"/>
            <w:vMerge w:val="continue"/>
            <w:tcBorders>
              <w:top w:val="nil"/>
              <w:left w:val="nil"/>
              <w:bottom w:val="single" w:color="auto" w:sz="8" w:space="0"/>
              <w:right w:val="single" w:color="auto" w:sz="8" w:space="0"/>
            </w:tcBorders>
            <w:noWrap w:val="0"/>
            <w:tcMar>
              <w:top w:w="15" w:type="dxa"/>
              <w:left w:w="15" w:type="dxa"/>
              <w:bottom w:w="15" w:type="dxa"/>
              <w:right w:w="15" w:type="dxa"/>
            </w:tcMar>
            <w:vAlign w:val="top"/>
          </w:tcPr>
          <w:p w14:paraId="70C6F825">
            <w:pPr>
              <w:keepNext w:val="0"/>
              <w:keepLines w:val="0"/>
              <w:pageBreakBefore w:val="0"/>
              <w:kinsoku/>
              <w:wordWrap/>
              <w:overflowPunct/>
              <w:topLinePunct w:val="0"/>
              <w:autoSpaceDE/>
              <w:autoSpaceDN/>
              <w:bidi w:val="0"/>
              <w:adjustRightInd/>
              <w:snapToGrid/>
              <w:spacing w:line="580" w:lineRule="exact"/>
              <w:ind w:left="0"/>
              <w:jc w:val="both"/>
              <w:rPr>
                <w:rFonts w:hint="eastAsia" w:asciiTheme="minorEastAsia" w:hAnsiTheme="minorEastAsia" w:eastAsiaTheme="minorEastAsia" w:cstheme="minorEastAsia"/>
                <w:b w:val="0"/>
                <w:bCs w:val="0"/>
                <w:color w:val="auto"/>
                <w:sz w:val="24"/>
                <w:szCs w:val="24"/>
              </w:rPr>
            </w:pPr>
          </w:p>
        </w:tc>
      </w:tr>
      <w:tr w14:paraId="7D1CD652">
        <w:tblPrEx>
          <w:tblCellMar>
            <w:top w:w="0" w:type="dxa"/>
            <w:left w:w="0" w:type="dxa"/>
            <w:bottom w:w="0" w:type="dxa"/>
            <w:right w:w="0" w:type="dxa"/>
          </w:tblCellMar>
        </w:tblPrEx>
        <w:trPr>
          <w:trHeight w:val="840" w:hRule="atLeast"/>
        </w:trPr>
        <w:tc>
          <w:tcPr>
            <w:tcW w:w="1715" w:type="dxa"/>
            <w:tcBorders>
              <w:top w:val="nil"/>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59CC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公出时间</w:t>
            </w:r>
          </w:p>
        </w:tc>
        <w:tc>
          <w:tcPr>
            <w:tcW w:w="5014" w:type="dxa"/>
            <w:gridSpan w:val="2"/>
            <w:tcBorders>
              <w:top w:val="nil"/>
              <w:left w:val="nil"/>
              <w:bottom w:val="single" w:color="auto" w:sz="8" w:space="0"/>
              <w:right w:val="single" w:color="auto" w:sz="8" w:space="0"/>
            </w:tcBorders>
            <w:noWrap w:val="0"/>
            <w:tcMar>
              <w:top w:w="15" w:type="dxa"/>
              <w:left w:w="15" w:type="dxa"/>
              <w:bottom w:w="15" w:type="dxa"/>
              <w:right w:w="15" w:type="dxa"/>
            </w:tcMar>
            <w:vAlign w:val="center"/>
          </w:tcPr>
          <w:p w14:paraId="66B18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月    日至    月   日,共（     ）天。</w:t>
            </w:r>
          </w:p>
        </w:tc>
        <w:tc>
          <w:tcPr>
            <w:tcW w:w="1606" w:type="dxa"/>
            <w:vMerge w:val="continue"/>
            <w:tcBorders>
              <w:top w:val="nil"/>
              <w:left w:val="nil"/>
              <w:bottom w:val="single" w:color="auto" w:sz="8" w:space="0"/>
              <w:right w:val="single" w:color="auto" w:sz="8" w:space="0"/>
            </w:tcBorders>
            <w:noWrap w:val="0"/>
            <w:tcMar>
              <w:top w:w="15" w:type="dxa"/>
              <w:left w:w="15" w:type="dxa"/>
              <w:bottom w:w="15" w:type="dxa"/>
              <w:right w:w="15" w:type="dxa"/>
            </w:tcMar>
            <w:vAlign w:val="top"/>
          </w:tcPr>
          <w:p w14:paraId="2141E926">
            <w:pPr>
              <w:keepNext w:val="0"/>
              <w:keepLines w:val="0"/>
              <w:pageBreakBefore w:val="0"/>
              <w:kinsoku/>
              <w:wordWrap/>
              <w:overflowPunct/>
              <w:topLinePunct w:val="0"/>
              <w:autoSpaceDE/>
              <w:autoSpaceDN/>
              <w:bidi w:val="0"/>
              <w:adjustRightInd/>
              <w:snapToGrid/>
              <w:spacing w:line="580" w:lineRule="exact"/>
              <w:ind w:left="0"/>
              <w:jc w:val="both"/>
              <w:rPr>
                <w:rFonts w:hint="eastAsia" w:asciiTheme="minorEastAsia" w:hAnsiTheme="minorEastAsia" w:eastAsiaTheme="minorEastAsia" w:cstheme="minorEastAsia"/>
                <w:b w:val="0"/>
                <w:bCs w:val="0"/>
                <w:color w:val="auto"/>
                <w:sz w:val="24"/>
                <w:szCs w:val="24"/>
              </w:rPr>
            </w:pPr>
          </w:p>
        </w:tc>
      </w:tr>
      <w:tr w14:paraId="73135E2A">
        <w:tblPrEx>
          <w:tblCellMar>
            <w:top w:w="0" w:type="dxa"/>
            <w:left w:w="0" w:type="dxa"/>
            <w:bottom w:w="0" w:type="dxa"/>
            <w:right w:w="0" w:type="dxa"/>
          </w:tblCellMar>
        </w:tblPrEx>
        <w:trPr>
          <w:trHeight w:val="960" w:hRule="atLeast"/>
        </w:trPr>
        <w:tc>
          <w:tcPr>
            <w:tcW w:w="6454" w:type="dxa"/>
            <w:gridSpan w:val="2"/>
            <w:noWrap w:val="0"/>
            <w:tcMar>
              <w:top w:w="15" w:type="dxa"/>
              <w:left w:w="15" w:type="dxa"/>
              <w:bottom w:w="15" w:type="dxa"/>
              <w:right w:w="15" w:type="dxa"/>
            </w:tcMar>
            <w:vAlign w:val="center"/>
          </w:tcPr>
          <w:p w14:paraId="67782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Autospacing="0" w:line="580" w:lineRule="exact"/>
              <w:ind w:left="0" w:right="0"/>
              <w:jc w:val="both"/>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审批领导：</w:t>
            </w:r>
          </w:p>
        </w:tc>
        <w:tc>
          <w:tcPr>
            <w:tcW w:w="275" w:type="dxa"/>
            <w:noWrap w:val="0"/>
            <w:vAlign w:val="center"/>
          </w:tcPr>
          <w:p w14:paraId="344D16C6">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p>
        </w:tc>
        <w:tc>
          <w:tcPr>
            <w:tcW w:w="1606" w:type="dxa"/>
            <w:noWrap w:val="0"/>
            <w:vAlign w:val="center"/>
          </w:tcPr>
          <w:p w14:paraId="5E604BEC">
            <w:pPr>
              <w:pageBreakBefore w:val="0"/>
              <w:kinsoku/>
              <w:overflowPunct/>
              <w:topLinePunct w:val="0"/>
              <w:bidi w:val="0"/>
              <w:spacing w:line="580" w:lineRule="exact"/>
              <w:ind w:left="0"/>
              <w:jc w:val="both"/>
              <w:rPr>
                <w:rFonts w:hint="eastAsia" w:asciiTheme="minorEastAsia" w:hAnsiTheme="minorEastAsia" w:eastAsiaTheme="minorEastAsia" w:cstheme="minorEastAsia"/>
                <w:b w:val="0"/>
                <w:bCs w:val="0"/>
                <w:color w:val="auto"/>
                <w:sz w:val="24"/>
                <w:szCs w:val="24"/>
              </w:rPr>
            </w:pPr>
          </w:p>
        </w:tc>
      </w:tr>
    </w:tbl>
    <w:p w14:paraId="48E76079">
      <w:pPr>
        <w:pStyle w:val="2"/>
        <w:pageBreakBefore w:val="0"/>
        <w:kinsoku/>
        <w:overflowPunct/>
        <w:topLinePunct w:val="0"/>
        <w:bidi w:val="0"/>
        <w:spacing w:after="0" w:line="580" w:lineRule="exact"/>
        <w:jc w:val="both"/>
        <w:rPr>
          <w:rFonts w:hint="eastAsia" w:asciiTheme="minorEastAsia" w:hAnsiTheme="minorEastAsia" w:eastAsiaTheme="minorEastAsia" w:cstheme="minorEastAsia"/>
          <w:b/>
          <w:bCs/>
          <w:color w:val="auto"/>
          <w:kern w:val="0"/>
          <w:sz w:val="32"/>
          <w:szCs w:val="32"/>
          <w:shd w:val="clear" w:color="auto" w:fill="FFFFFF"/>
          <w:lang w:val="en-US" w:eastAsia="zh-CN" w:bidi="ar"/>
        </w:rPr>
      </w:pPr>
    </w:p>
    <w:p w14:paraId="179288E7">
      <w:pPr>
        <w:pageBreakBefore w:val="0"/>
        <w:kinsoku/>
        <w:overflowPunct/>
        <w:topLinePunct w:val="0"/>
        <w:bidi w:val="0"/>
        <w:spacing w:line="580" w:lineRule="exact"/>
        <w:jc w:val="both"/>
        <w:rPr>
          <w:rFonts w:hint="eastAsia" w:asciiTheme="minorEastAsia" w:hAnsiTheme="minorEastAsia" w:eastAsiaTheme="minorEastAsia" w:cstheme="minorEastAsia"/>
          <w:b/>
          <w:bCs/>
          <w:lang w:val="en-US" w:eastAsia="zh-CN"/>
        </w:rPr>
      </w:pPr>
    </w:p>
    <w:p w14:paraId="29B2AA72">
      <w:pPr>
        <w:pageBreakBefore w:val="0"/>
        <w:kinsoku/>
        <w:overflowPunct/>
        <w:topLinePunct w:val="0"/>
        <w:bidi w:val="0"/>
        <w:spacing w:line="580" w:lineRule="exact"/>
        <w:ind w:left="0"/>
        <w:jc w:val="both"/>
        <w:rPr>
          <w:rFonts w:hint="eastAsia" w:asciiTheme="minorEastAsia" w:hAnsiTheme="minorEastAsia" w:eastAsiaTheme="minorEastAsia" w:cstheme="minorEastAsia"/>
          <w:b/>
          <w:bCs/>
          <w:color w:val="auto"/>
        </w:rPr>
      </w:pPr>
    </w:p>
    <w:p w14:paraId="70BE8BA5">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0D5689FD">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4EE12F04">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14CFB125">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5C5F941B">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76240BC8">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39A8C063">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57BBDF63">
      <w:pPr>
        <w:pStyle w:val="14"/>
        <w:keepNext w:val="0"/>
        <w:keepLines w:val="0"/>
        <w:pageBreakBefore w:val="0"/>
        <w:widowControl/>
        <w:suppressLineNumbers w:val="0"/>
        <w:kinsoku/>
        <w:wordWrap/>
        <w:overflowPunct/>
        <w:topLinePunct w:val="0"/>
        <w:autoSpaceDE/>
        <w:autoSpaceDN/>
        <w:bidi w:val="0"/>
        <w:adjustRightInd/>
        <w:snapToGrid/>
        <w:spacing w:before="106" w:beforeAutospacing="0" w:after="0" w:afterAutospacing="0" w:line="580" w:lineRule="exact"/>
        <w:ind w:left="0" w:right="0" w:firstLine="2891" w:firstLineChars="800"/>
        <w:jc w:val="both"/>
        <w:textAlignment w:val="auto"/>
        <w:rPr>
          <w:rFonts w:hint="eastAsia" w:asciiTheme="minorEastAsia" w:hAnsiTheme="minorEastAsia" w:eastAsiaTheme="minorEastAsia" w:cstheme="minorEastAsia"/>
          <w:b/>
          <w:bCs/>
          <w:color w:val="auto"/>
          <w:sz w:val="36"/>
          <w:szCs w:val="36"/>
          <w:lang w:val="en-US" w:eastAsia="zh-CN"/>
        </w:rPr>
      </w:pPr>
    </w:p>
    <w:p w14:paraId="0AC6F44E">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公务用车</w:t>
      </w:r>
      <w:r>
        <w:rPr>
          <w:rFonts w:hint="eastAsia" w:asciiTheme="minorEastAsia" w:hAnsiTheme="minorEastAsia" w:eastAsiaTheme="minorEastAsia" w:cstheme="minorEastAsia"/>
          <w:b/>
          <w:bCs/>
        </w:rPr>
        <w:t>管理和使用制度</w:t>
      </w:r>
    </w:p>
    <w:p w14:paraId="194CC425">
      <w:pPr>
        <w:pStyle w:val="8"/>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为规范机关执法车辆管理，提高执法车辆使用效益，节约经费，确保运行有序和行车安全，按照相关规定，结合白城市医疗保障局工作实际，</w:t>
      </w:r>
      <w:r>
        <w:rPr>
          <w:rFonts w:hint="eastAsia" w:asciiTheme="minorEastAsia" w:hAnsiTheme="minorEastAsia" w:eastAsiaTheme="minorEastAsia" w:cstheme="minorEastAsia"/>
          <w:b w:val="0"/>
          <w:bCs w:val="0"/>
          <w:color w:val="auto"/>
          <w:spacing w:val="0"/>
          <w:sz w:val="24"/>
          <w:szCs w:val="24"/>
          <w:lang w:val="en-US" w:eastAsia="zh-CN"/>
        </w:rPr>
        <w:t>制定本制度</w:t>
      </w:r>
      <w:r>
        <w:rPr>
          <w:rFonts w:hint="eastAsia" w:asciiTheme="minorEastAsia" w:hAnsiTheme="minorEastAsia" w:eastAsiaTheme="minorEastAsia" w:cstheme="minorEastAsia"/>
          <w:b w:val="0"/>
          <w:bCs w:val="0"/>
          <w:color w:val="auto"/>
          <w:sz w:val="24"/>
          <w:szCs w:val="24"/>
          <w:lang w:eastAsia="zh-CN"/>
        </w:rPr>
        <w:t>。</w:t>
      </w:r>
    </w:p>
    <w:p w14:paraId="60268874">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机关车辆由办公室集中管理,统一调度</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任何人不</w:t>
      </w:r>
      <w:r>
        <w:rPr>
          <w:rFonts w:hint="eastAsia" w:asciiTheme="minorEastAsia" w:hAnsiTheme="minorEastAsia" w:eastAsiaTheme="minorEastAsia" w:cstheme="minorEastAsia"/>
          <w:b w:val="0"/>
          <w:bCs w:val="0"/>
          <w:color w:val="auto"/>
          <w:sz w:val="24"/>
          <w:szCs w:val="24"/>
          <w:lang w:eastAsia="zh-CN"/>
        </w:rPr>
        <w:t>准</w:t>
      </w:r>
      <w:r>
        <w:rPr>
          <w:rFonts w:hint="eastAsia" w:asciiTheme="minorEastAsia" w:hAnsiTheme="minorEastAsia" w:eastAsiaTheme="minorEastAsia" w:cstheme="minorEastAsia"/>
          <w:b w:val="0"/>
          <w:bCs w:val="0"/>
          <w:color w:val="auto"/>
          <w:sz w:val="24"/>
          <w:szCs w:val="24"/>
        </w:rPr>
        <w:t>随意调用。</w:t>
      </w:r>
    </w:p>
    <w:p w14:paraId="30695B55">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严格遵守交通法规,不准酒后驾车,不准将车私自借给他人驾驶。对违反上述规定,发生交通事故、造成经济损失和其他后果者,要追究当事</w:t>
      </w:r>
      <w:r>
        <w:rPr>
          <w:rFonts w:hint="eastAsia" w:asciiTheme="minorEastAsia" w:hAnsiTheme="minorEastAsia" w:eastAsiaTheme="minorEastAsia" w:cstheme="minorEastAsia"/>
          <w:b w:val="0"/>
          <w:bCs w:val="0"/>
          <w:color w:val="auto"/>
          <w:sz w:val="24"/>
          <w:szCs w:val="24"/>
          <w:lang w:eastAsia="zh-CN"/>
        </w:rPr>
        <w:t>有</w:t>
      </w:r>
      <w:r>
        <w:rPr>
          <w:rFonts w:hint="eastAsia" w:asciiTheme="minorEastAsia" w:hAnsiTheme="minorEastAsia" w:eastAsiaTheme="minorEastAsia" w:cstheme="minorEastAsia"/>
          <w:b w:val="0"/>
          <w:bCs w:val="0"/>
          <w:color w:val="auto"/>
          <w:sz w:val="24"/>
          <w:szCs w:val="24"/>
        </w:rPr>
        <w:t>责任。司机要对车辆常检查、勤维护,以防发生安全事故</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司机违章驾驶造成的扣分、罚款等一切责任自负</w:t>
      </w:r>
      <w:r>
        <w:rPr>
          <w:rFonts w:hint="eastAsia" w:asciiTheme="minorEastAsia" w:hAnsiTheme="minorEastAsia" w:eastAsiaTheme="minorEastAsia" w:cstheme="minorEastAsia"/>
          <w:b w:val="0"/>
          <w:bCs w:val="0"/>
          <w:color w:val="auto"/>
          <w:sz w:val="24"/>
          <w:szCs w:val="24"/>
          <w:lang w:eastAsia="zh-CN"/>
        </w:rPr>
        <w:t>。</w:t>
      </w:r>
    </w:p>
    <w:p w14:paraId="41178B67">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车辆实行“三检”制度,经常保持车容整洁、车况完好,实行定点维修、定期保养制度。不开带病车,严禁超速行驶。对违反交通法规发生交通事故的,驾驶员要承担保险公司赔偿以外的经济责任。</w:t>
      </w:r>
    </w:p>
    <w:p w14:paraId="0771E703">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局车辆属行政执法专用车，</w:t>
      </w:r>
      <w:r>
        <w:rPr>
          <w:rFonts w:hint="eastAsia" w:asciiTheme="minorEastAsia" w:hAnsiTheme="minorEastAsia" w:eastAsiaTheme="minorEastAsia" w:cstheme="minorEastAsia"/>
          <w:b w:val="0"/>
          <w:bCs w:val="0"/>
          <w:color w:val="auto"/>
          <w:sz w:val="24"/>
          <w:szCs w:val="24"/>
        </w:rPr>
        <w:t>科</w:t>
      </w:r>
      <w:r>
        <w:rPr>
          <w:rFonts w:hint="eastAsia" w:asciiTheme="minorEastAsia" w:hAnsiTheme="minorEastAsia" w:eastAsiaTheme="minorEastAsia" w:cstheme="minorEastAsia"/>
          <w:b w:val="0"/>
          <w:bCs w:val="0"/>
          <w:color w:val="auto"/>
          <w:sz w:val="24"/>
          <w:szCs w:val="24"/>
          <w:lang w:eastAsia="zh-CN"/>
        </w:rPr>
        <w:t>室和直属单位</w:t>
      </w:r>
      <w:r>
        <w:rPr>
          <w:rFonts w:hint="eastAsia" w:asciiTheme="minorEastAsia" w:hAnsiTheme="minorEastAsia" w:eastAsiaTheme="minorEastAsia" w:cstheme="minorEastAsia"/>
          <w:b w:val="0"/>
          <w:bCs w:val="0"/>
          <w:color w:val="auto"/>
          <w:sz w:val="24"/>
          <w:szCs w:val="24"/>
        </w:rPr>
        <w:t>一般性</w:t>
      </w:r>
      <w:r>
        <w:rPr>
          <w:rFonts w:hint="eastAsia" w:asciiTheme="minorEastAsia" w:hAnsiTheme="minorEastAsia" w:eastAsiaTheme="minorEastAsia" w:cstheme="minorEastAsia"/>
          <w:b w:val="0"/>
          <w:bCs w:val="0"/>
          <w:color w:val="auto"/>
          <w:sz w:val="24"/>
          <w:szCs w:val="24"/>
          <w:lang w:eastAsia="zh-CN"/>
        </w:rPr>
        <w:t>公务</w:t>
      </w:r>
      <w:r>
        <w:rPr>
          <w:rFonts w:hint="eastAsia" w:asciiTheme="minorEastAsia" w:hAnsiTheme="minorEastAsia" w:eastAsiaTheme="minorEastAsia" w:cstheme="minorEastAsia"/>
          <w:b w:val="0"/>
          <w:bCs w:val="0"/>
          <w:color w:val="auto"/>
          <w:sz w:val="24"/>
          <w:szCs w:val="24"/>
        </w:rPr>
        <w:t>用车不派车。因特殊情况确需用车,</w:t>
      </w:r>
      <w:r>
        <w:rPr>
          <w:rFonts w:hint="eastAsia" w:asciiTheme="minorEastAsia" w:hAnsiTheme="minorEastAsia" w:eastAsiaTheme="minorEastAsia" w:cstheme="minorEastAsia"/>
          <w:b w:val="0"/>
          <w:bCs w:val="0"/>
          <w:color w:val="auto"/>
          <w:sz w:val="24"/>
          <w:szCs w:val="24"/>
          <w:lang w:eastAsia="zh-CN"/>
        </w:rPr>
        <w:t>经请示局长后</w:t>
      </w:r>
      <w:r>
        <w:rPr>
          <w:rFonts w:hint="eastAsia" w:asciiTheme="minorEastAsia" w:hAnsiTheme="minorEastAsia" w:eastAsiaTheme="minorEastAsia" w:cstheme="minorEastAsia"/>
          <w:b w:val="0"/>
          <w:bCs w:val="0"/>
          <w:color w:val="auto"/>
          <w:sz w:val="24"/>
          <w:szCs w:val="24"/>
        </w:rPr>
        <w:t>,根据实际情况安</w:t>
      </w:r>
      <w:r>
        <w:rPr>
          <w:rFonts w:hint="eastAsia" w:asciiTheme="minorEastAsia" w:hAnsiTheme="minorEastAsia" w:eastAsiaTheme="minorEastAsia" w:cstheme="minorEastAsia"/>
          <w:b w:val="0"/>
          <w:bCs w:val="0"/>
          <w:color w:val="auto"/>
          <w:sz w:val="24"/>
          <w:szCs w:val="24"/>
          <w:lang w:eastAsia="zh-CN"/>
        </w:rPr>
        <w:t>排。</w:t>
      </w:r>
    </w:p>
    <w:p w14:paraId="3A7E7B48">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用车加油由办公室统一管理,司机不得自行加油,未经批准擅自加油</w:t>
      </w:r>
      <w:r>
        <w:rPr>
          <w:rFonts w:hint="eastAsia" w:asciiTheme="minorEastAsia" w:hAnsiTheme="minorEastAsia" w:eastAsiaTheme="minorEastAsia" w:cstheme="minorEastAsia"/>
          <w:b w:val="0"/>
          <w:bCs w:val="0"/>
          <w:color w:val="auto"/>
          <w:sz w:val="24"/>
          <w:szCs w:val="24"/>
          <w:lang w:eastAsia="zh-CN"/>
        </w:rPr>
        <w:t>款</w:t>
      </w:r>
      <w:r>
        <w:rPr>
          <w:rFonts w:hint="eastAsia" w:asciiTheme="minorEastAsia" w:hAnsiTheme="minorEastAsia" w:eastAsiaTheme="minorEastAsia" w:cstheme="minorEastAsia"/>
          <w:b w:val="0"/>
          <w:bCs w:val="0"/>
          <w:color w:val="auto"/>
          <w:sz w:val="24"/>
          <w:szCs w:val="24"/>
        </w:rPr>
        <w:t>不予报销。</w:t>
      </w:r>
    </w:p>
    <w:p w14:paraId="1F9C542B">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法定工作时间外及节假日期间禁止使用车</w:t>
      </w:r>
      <w:r>
        <w:rPr>
          <w:rFonts w:hint="eastAsia" w:asciiTheme="minorEastAsia" w:hAnsiTheme="minorEastAsia" w:eastAsiaTheme="minorEastAsia" w:cstheme="minorEastAsia"/>
          <w:b w:val="0"/>
          <w:bCs w:val="0"/>
          <w:color w:val="auto"/>
          <w:sz w:val="24"/>
          <w:szCs w:val="24"/>
          <w:lang w:eastAsia="zh-CN"/>
        </w:rPr>
        <w:t>辆，</w:t>
      </w:r>
      <w:r>
        <w:rPr>
          <w:rFonts w:hint="eastAsia" w:asciiTheme="minorEastAsia" w:hAnsiTheme="minorEastAsia" w:eastAsiaTheme="minorEastAsia" w:cstheme="minorEastAsia"/>
          <w:b w:val="0"/>
          <w:bCs w:val="0"/>
          <w:color w:val="auto"/>
          <w:sz w:val="24"/>
          <w:szCs w:val="24"/>
        </w:rPr>
        <w:t>节假日期间车辆</w:t>
      </w:r>
      <w:r>
        <w:rPr>
          <w:rFonts w:hint="eastAsia" w:asciiTheme="minorEastAsia" w:hAnsiTheme="minorEastAsia" w:eastAsiaTheme="minorEastAsia" w:cstheme="minorEastAsia"/>
          <w:b w:val="0"/>
          <w:bCs w:val="0"/>
          <w:color w:val="auto"/>
          <w:sz w:val="24"/>
          <w:szCs w:val="24"/>
          <w:lang w:eastAsia="zh-CN"/>
        </w:rPr>
        <w:t>封存</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司机将车钥匙交由办公室保管，</w:t>
      </w:r>
      <w:r>
        <w:rPr>
          <w:rFonts w:hint="eastAsia" w:asciiTheme="minorEastAsia" w:hAnsiTheme="minorEastAsia" w:eastAsiaTheme="minorEastAsia" w:cstheme="minorEastAsia"/>
          <w:b w:val="0"/>
          <w:bCs w:val="0"/>
          <w:color w:val="auto"/>
          <w:sz w:val="24"/>
          <w:szCs w:val="24"/>
        </w:rPr>
        <w:t>不得擅自使用,特殊情况需报请主要领导批准后方可使用。</w:t>
      </w:r>
    </w:p>
    <w:p w14:paraId="79F5E41F">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第七条 公车车辆维护必须到政府采购确定的定点维修企业进行。</w:t>
      </w:r>
    </w:p>
    <w:p w14:paraId="6F92BF05">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第八条 办公室要加强对车辆的管理，按时组织进行年度审验，及时办理保险等有关手续。</w:t>
      </w:r>
    </w:p>
    <w:p w14:paraId="11EF77A2">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第八条 公车维护时，由司机如实向单位分管领导汇报，填写《车辆保修审批单》，分管领导签字盖章后，司机持审批单到定点修理厂办理维修手续。未经批准擅自进行修车、购置零配件或在非定点维修的，其费用不得报销。</w:t>
      </w:r>
    </w:p>
    <w:p w14:paraId="470DE89B">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第九条 公车因公外出，在市区外突发故障需应急维修的，要将具体情况报告单位分管领导、定点修理厂，事后7个工作日内凭相关资料补办维修手续。</w:t>
      </w:r>
    </w:p>
    <w:p w14:paraId="34033319">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第十条 公车保险必须到政府采购确定的定点单位进行车辆保险。</w:t>
      </w:r>
    </w:p>
    <w:p w14:paraId="2EDB9C1A">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第十一条 在发生道路交通事故中，驾驶员应保护好现场，并及时向交警部门或保险公司报案，并同时向分管领导报告。</w:t>
      </w:r>
    </w:p>
    <w:p w14:paraId="42E200DD">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第十二条 司机应对公车保险状况进行掌握，为车辆及时上保险，保险过期发生事故情况，司机承担相应责任。</w:t>
      </w:r>
    </w:p>
    <w:p w14:paraId="632E49E0">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第十三条</w:t>
      </w:r>
      <w:r>
        <w:rPr>
          <w:rFonts w:hint="eastAsia" w:asciiTheme="minorEastAsia" w:hAnsiTheme="minorEastAsia" w:eastAsiaTheme="minorEastAsia" w:cstheme="minorEastAsia"/>
          <w:b w:val="0"/>
          <w:bCs w:val="0"/>
          <w:color w:val="auto"/>
          <w:sz w:val="24"/>
          <w:szCs w:val="24"/>
          <w:lang w:val="en-US" w:eastAsia="zh-CN"/>
        </w:rPr>
        <w:t xml:space="preserve"> 本制度自发布之日起实施。</w:t>
      </w:r>
    </w:p>
    <w:p w14:paraId="7C302539">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614E02AD">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7275BD3B">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3D0563C1">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1DC39B04">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49E0B722">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73090D48">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3F9BB35C">
      <w:pPr>
        <w:pStyle w:val="8"/>
        <w:pageBreakBefore w:val="0"/>
        <w:numPr>
          <w:ilvl w:val="0"/>
          <w:numId w:val="0"/>
        </w:numPr>
        <w:kinsoku/>
        <w:overflowPunct/>
        <w:topLinePunct w:val="0"/>
        <w:bidi w:val="0"/>
        <w:spacing w:line="580" w:lineRule="exact"/>
        <w:ind w:left="0" w:firstLine="480" w:firstLineChars="200"/>
        <w:jc w:val="both"/>
        <w:rPr>
          <w:rFonts w:hint="eastAsia" w:asciiTheme="minorEastAsia" w:hAnsiTheme="minorEastAsia" w:eastAsiaTheme="minorEastAsia" w:cstheme="minorEastAsia"/>
          <w:b w:val="0"/>
          <w:bCs w:val="0"/>
          <w:color w:val="auto"/>
          <w:sz w:val="24"/>
          <w:szCs w:val="24"/>
          <w:lang w:val="en-US" w:eastAsia="zh-CN"/>
        </w:rPr>
      </w:pPr>
    </w:p>
    <w:p w14:paraId="2F6E4E6C">
      <w:pPr>
        <w:pStyle w:val="8"/>
        <w:pageBreakBefore w:val="0"/>
        <w:numPr>
          <w:ilvl w:val="0"/>
          <w:numId w:val="0"/>
        </w:numPr>
        <w:kinsoku/>
        <w:overflowPunct/>
        <w:topLinePunct w:val="0"/>
        <w:bidi w:val="0"/>
        <w:spacing w:line="580" w:lineRule="exact"/>
        <w:ind w:left="0" w:firstLine="883" w:firstLineChars="200"/>
        <w:jc w:val="both"/>
        <w:rPr>
          <w:rFonts w:hint="eastAsia" w:asciiTheme="minorEastAsia" w:hAnsiTheme="minorEastAsia" w:eastAsiaTheme="minorEastAsia" w:cstheme="minorEastAsia"/>
          <w:b/>
          <w:bCs/>
          <w:color w:val="auto"/>
          <w:sz w:val="44"/>
          <w:szCs w:val="44"/>
          <w:lang w:eastAsia="zh-CN"/>
        </w:rPr>
      </w:pPr>
    </w:p>
    <w:p w14:paraId="181B8C5F">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5EF4A2CB">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15C0F2ED">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5578346F">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480AE35C">
      <w:pPr>
        <w:pStyle w:val="3"/>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局机关办公用品管理制度</w:t>
      </w:r>
    </w:p>
    <w:p w14:paraId="05BEBF6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为进一步加强机关办公用品的使用与管理，</w:t>
      </w:r>
      <w:r>
        <w:rPr>
          <w:rFonts w:hint="eastAsia" w:asciiTheme="minorEastAsia" w:hAnsiTheme="minorEastAsia" w:eastAsiaTheme="minorEastAsia" w:cstheme="minorEastAsia"/>
          <w:b w:val="0"/>
          <w:bCs w:val="0"/>
          <w:color w:val="auto"/>
          <w:sz w:val="24"/>
          <w:szCs w:val="24"/>
          <w:lang w:eastAsia="zh-CN"/>
        </w:rPr>
        <w:t>本着“节约开支、防止浪费”的原则，更好的为医保工作提供服务，</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rPr>
        <w:t>制定</w:t>
      </w:r>
      <w:r>
        <w:rPr>
          <w:rFonts w:hint="eastAsia" w:asciiTheme="minorEastAsia" w:hAnsiTheme="minorEastAsia" w:eastAsiaTheme="minorEastAsia" w:cstheme="minorEastAsia"/>
          <w:b w:val="0"/>
          <w:bCs w:val="0"/>
          <w:color w:val="auto"/>
          <w:sz w:val="24"/>
          <w:szCs w:val="24"/>
          <w:lang w:eastAsia="zh-CN"/>
        </w:rPr>
        <w:t>本</w:t>
      </w:r>
      <w:r>
        <w:rPr>
          <w:rFonts w:hint="eastAsia" w:asciiTheme="minorEastAsia" w:hAnsiTheme="minorEastAsia" w:eastAsiaTheme="minorEastAsia" w:cstheme="minorEastAsia"/>
          <w:b w:val="0"/>
          <w:bCs w:val="0"/>
          <w:color w:val="auto"/>
          <w:sz w:val="24"/>
          <w:szCs w:val="24"/>
        </w:rPr>
        <w:t>制度。</w:t>
      </w:r>
    </w:p>
    <w:p w14:paraId="4166E5D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办公用品的采购</w:t>
      </w:r>
    </w:p>
    <w:p w14:paraId="573309A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1.市局各科室所有办公用品的采购工作，具体由</w:t>
      </w:r>
      <w:r>
        <w:rPr>
          <w:rFonts w:hint="eastAsia" w:asciiTheme="minorEastAsia" w:hAnsiTheme="minorEastAsia" w:eastAsiaTheme="minorEastAsia" w:cstheme="minorEastAsia"/>
          <w:b w:val="0"/>
          <w:bCs w:val="0"/>
          <w:color w:val="auto"/>
          <w:sz w:val="24"/>
          <w:szCs w:val="24"/>
          <w:lang w:eastAsia="zh-CN"/>
        </w:rPr>
        <w:t>局办公室</w:t>
      </w:r>
      <w:r>
        <w:rPr>
          <w:rFonts w:hint="eastAsia" w:asciiTheme="minorEastAsia" w:hAnsiTheme="minorEastAsia" w:eastAsiaTheme="minorEastAsia" w:cstheme="minorEastAsia"/>
          <w:b w:val="0"/>
          <w:bCs w:val="0"/>
          <w:color w:val="auto"/>
          <w:sz w:val="24"/>
          <w:szCs w:val="24"/>
        </w:rPr>
        <w:t>组织实施。</w:t>
      </w:r>
    </w:p>
    <w:p w14:paraId="25F7663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2.严格执行政府采购制度，凡采购大宗重要物资的商品等必需品，须经局</w:t>
      </w:r>
      <w:r>
        <w:rPr>
          <w:rFonts w:hint="eastAsia" w:asciiTheme="minorEastAsia" w:hAnsiTheme="minorEastAsia" w:eastAsiaTheme="minorEastAsia" w:cstheme="minorEastAsia"/>
          <w:b w:val="0"/>
          <w:bCs w:val="0"/>
          <w:color w:val="auto"/>
          <w:sz w:val="24"/>
          <w:szCs w:val="24"/>
          <w:lang w:eastAsia="zh-CN"/>
        </w:rPr>
        <w:t>长办公会</w:t>
      </w:r>
      <w:r>
        <w:rPr>
          <w:rFonts w:hint="eastAsia" w:asciiTheme="minorEastAsia" w:hAnsiTheme="minorEastAsia" w:eastAsiaTheme="minorEastAsia" w:cstheme="minorEastAsia"/>
          <w:b w:val="0"/>
          <w:bCs w:val="0"/>
          <w:color w:val="auto"/>
          <w:sz w:val="24"/>
          <w:szCs w:val="24"/>
        </w:rPr>
        <w:t>研究决定同意后，按政府采购办的规定、标准和程序购置。</w:t>
      </w:r>
    </w:p>
    <w:p w14:paraId="4F55A130">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3.严格采购审批制度。易耗性物品按年初的审批预算进行采购。保值性物品由主管局长审批后进行采购。</w:t>
      </w:r>
    </w:p>
    <w:p w14:paraId="5F842D7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4.采购工作要科学合理，增强透明度。采购前，应做好市场调查，充分掌握欲购物品的价格，努力达到货真价实，物美价廉。</w:t>
      </w:r>
    </w:p>
    <w:p w14:paraId="2A54B16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5.办公用品采购程序为：低值易耗品采购根据各科室所需，经分管局长同意后由</w:t>
      </w:r>
      <w:r>
        <w:rPr>
          <w:rFonts w:hint="eastAsia" w:asciiTheme="minorEastAsia" w:hAnsiTheme="minorEastAsia" w:eastAsiaTheme="minorEastAsia" w:cstheme="minorEastAsia"/>
          <w:b w:val="0"/>
          <w:bCs w:val="0"/>
          <w:color w:val="auto"/>
          <w:sz w:val="24"/>
          <w:szCs w:val="24"/>
          <w:lang w:eastAsia="zh-CN"/>
        </w:rPr>
        <w:t>局办公室</w:t>
      </w:r>
      <w:r>
        <w:rPr>
          <w:rFonts w:hint="eastAsia" w:asciiTheme="minorEastAsia" w:hAnsiTheme="minorEastAsia" w:eastAsiaTheme="minorEastAsia" w:cstheme="minorEastAsia"/>
          <w:b w:val="0"/>
          <w:bCs w:val="0"/>
          <w:color w:val="auto"/>
          <w:sz w:val="24"/>
          <w:szCs w:val="24"/>
        </w:rPr>
        <w:t>组织采购。保值性物品采购经党组研究同意后走政府采购程序采购。</w:t>
      </w:r>
    </w:p>
    <w:p w14:paraId="30E1CC29">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w:t>
      </w:r>
      <w:r>
        <w:rPr>
          <w:rFonts w:hint="eastAsia" w:asciiTheme="minorEastAsia" w:hAnsiTheme="minorEastAsia" w:eastAsiaTheme="minorEastAsia" w:cstheme="minorEastAsia"/>
          <w:b w:val="0"/>
          <w:bCs w:val="0"/>
          <w:color w:val="auto"/>
          <w:sz w:val="24"/>
          <w:szCs w:val="24"/>
        </w:rPr>
        <w:t>二</w:t>
      </w:r>
      <w:r>
        <w:rPr>
          <w:rFonts w:hint="eastAsia" w:asciiTheme="minorEastAsia" w:hAnsiTheme="minorEastAsia" w:eastAsiaTheme="minorEastAsia" w:cstheme="minorEastAsia"/>
          <w:b w:val="0"/>
          <w:bCs w:val="0"/>
          <w:color w:val="auto"/>
          <w:sz w:val="24"/>
          <w:szCs w:val="24"/>
          <w:lang w:eastAsia="zh-CN"/>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办公用品的保管和领取</w:t>
      </w:r>
    </w:p>
    <w:p w14:paraId="564D464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1.办公用品由专人负责保管，采购的办公用品要登记上账。种类和数量要合理控制。</w:t>
      </w:r>
    </w:p>
    <w:p w14:paraId="6FA0DCF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2.定期进行办公用品库存盘点。随时掌握库存物品的数量，随时增加库存，保证供给。</w:t>
      </w:r>
    </w:p>
    <w:p w14:paraId="5C0A500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3.领取办公用品的原则是：工作任务清楚，使用目的明确。各科室需要领取的办公用品年初要报计划。上报</w:t>
      </w:r>
      <w:r>
        <w:rPr>
          <w:rFonts w:hint="eastAsia" w:asciiTheme="minorEastAsia" w:hAnsiTheme="minorEastAsia" w:eastAsiaTheme="minorEastAsia" w:cstheme="minorEastAsia"/>
          <w:b w:val="0"/>
          <w:bCs w:val="0"/>
          <w:color w:val="auto"/>
          <w:sz w:val="24"/>
          <w:szCs w:val="24"/>
          <w:lang w:eastAsia="zh-CN"/>
        </w:rPr>
        <w:t>局办公室</w:t>
      </w:r>
      <w:r>
        <w:rPr>
          <w:rFonts w:hint="eastAsia" w:asciiTheme="minorEastAsia" w:hAnsiTheme="minorEastAsia" w:eastAsiaTheme="minorEastAsia" w:cstheme="minorEastAsia"/>
          <w:b w:val="0"/>
          <w:bCs w:val="0"/>
          <w:color w:val="auto"/>
          <w:sz w:val="24"/>
          <w:szCs w:val="24"/>
        </w:rPr>
        <w:t>备案，以便掌握并合理采购。</w:t>
      </w:r>
    </w:p>
    <w:p w14:paraId="020B84B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4.各科室办公用品领取工作统一由</w:t>
      </w:r>
      <w:r>
        <w:rPr>
          <w:rFonts w:hint="eastAsia" w:asciiTheme="minorEastAsia" w:hAnsiTheme="minorEastAsia" w:eastAsiaTheme="minorEastAsia" w:cstheme="minorEastAsia"/>
          <w:b w:val="0"/>
          <w:bCs w:val="0"/>
          <w:color w:val="auto"/>
          <w:sz w:val="24"/>
          <w:szCs w:val="24"/>
          <w:lang w:eastAsia="zh-CN"/>
        </w:rPr>
        <w:t>办公室</w:t>
      </w:r>
      <w:r>
        <w:rPr>
          <w:rFonts w:hint="eastAsia" w:asciiTheme="minorEastAsia" w:hAnsiTheme="minorEastAsia" w:eastAsiaTheme="minorEastAsia" w:cstheme="minorEastAsia"/>
          <w:b w:val="0"/>
          <w:bCs w:val="0"/>
          <w:color w:val="auto"/>
          <w:sz w:val="24"/>
          <w:szCs w:val="24"/>
        </w:rPr>
        <w:t>管理，各科室要固定一名专人负责领取工作。领取时领取人须在《办公用品领取登记本》上写明日期、物品名称、数量并签字。</w:t>
      </w:r>
    </w:p>
    <w:p w14:paraId="32CA5F3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第</w:t>
      </w:r>
      <w:r>
        <w:rPr>
          <w:rFonts w:hint="eastAsia" w:asciiTheme="minorEastAsia" w:hAnsiTheme="minorEastAsia" w:eastAsiaTheme="minorEastAsia" w:cstheme="minorEastAsia"/>
          <w:b w:val="0"/>
          <w:bCs w:val="0"/>
          <w:color w:val="auto"/>
          <w:sz w:val="24"/>
          <w:szCs w:val="24"/>
        </w:rPr>
        <w:t>三</w:t>
      </w:r>
      <w:r>
        <w:rPr>
          <w:rFonts w:hint="eastAsia" w:asciiTheme="minorEastAsia" w:hAnsiTheme="minorEastAsia" w:eastAsiaTheme="minorEastAsia" w:cstheme="minorEastAsia"/>
          <w:b w:val="0"/>
          <w:bCs w:val="0"/>
          <w:color w:val="auto"/>
          <w:sz w:val="24"/>
          <w:szCs w:val="24"/>
          <w:lang w:eastAsia="zh-CN"/>
        </w:rPr>
        <w:t>条</w:t>
      </w:r>
      <w:r>
        <w:rPr>
          <w:rFonts w:hint="eastAsia" w:asciiTheme="minorEastAsia" w:hAnsiTheme="minorEastAsia" w:eastAsiaTheme="minorEastAsia" w:cstheme="minorEastAsia"/>
          <w:b w:val="0"/>
          <w:bCs w:val="0"/>
          <w:color w:val="auto"/>
          <w:sz w:val="24"/>
          <w:szCs w:val="24"/>
          <w:lang w:val="en-US" w:eastAsia="zh-CN"/>
        </w:rPr>
        <w:t xml:space="preserve"> 办公用品的使用</w:t>
      </w:r>
    </w:p>
    <w:p w14:paraId="0A6771B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1.使用办公用品要牢固树立节约光荣、浪费可耻的思想。努力降低办公成本。</w:t>
      </w:r>
    </w:p>
    <w:p w14:paraId="66BBBBD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2.精心使用办公设备，认真遵守操作规程，及时关闭电源，定期维护保养，最大限度延长设备、用品的使用寿命。</w:t>
      </w:r>
    </w:p>
    <w:p w14:paraId="4D03EB4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3.办公用品要物尽其用，能反复使用的要反复利用，充分发挥各种办公用品的最大效率。</w:t>
      </w:r>
    </w:p>
    <w:p w14:paraId="4FF36E6B">
      <w:pPr>
        <w:keepNext w:val="0"/>
        <w:keepLines w:val="0"/>
        <w:pageBreakBefore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本制度自发布之日起实施。</w:t>
      </w:r>
    </w:p>
    <w:p w14:paraId="096AB9EA">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5EFD78B5">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02733B32">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2DA828B7">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6A14B3DE">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16FC6E0F">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4543704D">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3ECDA9DF">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32726A43">
      <w:pPr>
        <w:pStyle w:val="7"/>
        <w:rPr>
          <w:rFonts w:hint="eastAsia" w:asciiTheme="minorEastAsia" w:hAnsiTheme="minorEastAsia" w:eastAsiaTheme="minorEastAsia" w:cstheme="minorEastAsia"/>
          <w:b/>
          <w:bCs/>
          <w:color w:val="auto"/>
          <w:sz w:val="36"/>
          <w:szCs w:val="36"/>
        </w:rPr>
      </w:pPr>
    </w:p>
    <w:p w14:paraId="13B62F70">
      <w:pPr>
        <w:rPr>
          <w:rFonts w:hint="eastAsia" w:asciiTheme="minorEastAsia" w:hAnsiTheme="minorEastAsia" w:eastAsiaTheme="minorEastAsia" w:cstheme="minorEastAsia"/>
          <w:b/>
          <w:bCs/>
          <w:color w:val="auto"/>
          <w:sz w:val="36"/>
          <w:szCs w:val="36"/>
        </w:rPr>
      </w:pPr>
    </w:p>
    <w:p w14:paraId="3717EA80">
      <w:pPr>
        <w:pStyle w:val="2"/>
        <w:rPr>
          <w:rFonts w:hint="eastAsia"/>
        </w:rPr>
      </w:pPr>
    </w:p>
    <w:p w14:paraId="214D5B7D">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453C53DA">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283387F8">
      <w:pPr>
        <w:pStyle w:val="3"/>
        <w:bidi w:val="0"/>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rPr>
        <w:t>固定资产管理</w:t>
      </w:r>
      <w:r>
        <w:rPr>
          <w:rFonts w:hint="eastAsia" w:asciiTheme="minorEastAsia" w:hAnsiTheme="minorEastAsia" w:eastAsiaTheme="minorEastAsia" w:cstheme="minorEastAsia"/>
          <w:b/>
          <w:bCs/>
          <w:lang w:val="en-US" w:eastAsia="zh-CN"/>
        </w:rPr>
        <w:t>制度</w:t>
      </w:r>
    </w:p>
    <w:p w14:paraId="33FCFF82">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为加强和规范固定资产管理，有效利用固定资产，提高固定资产使用效率，参照《白城市市直行政事业单位通用办公设备家具配置标准》等有关规定，结合白城市医疗保障局工作实际，制定本制度。</w:t>
      </w:r>
    </w:p>
    <w:p w14:paraId="098E8629">
      <w:pPr>
        <w:keepNext w:val="0"/>
        <w:keepLines w:val="0"/>
        <w:pageBreakBefore w:val="0"/>
        <w:numPr>
          <w:ilvl w:val="0"/>
          <w:numId w:val="1"/>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采购</w:t>
      </w:r>
    </w:p>
    <w:p w14:paraId="5997A545">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使用科室提出书面申请，注明主要性能及需求等，经分管领导签字同意后，报办公室审核，经分管办公室领导同意后，报请主要领导批准。办公室要货比三家询价询质，将佐证材料提交党组会议审议确定后，按规定到定点或其他地方进行采购。</w:t>
      </w:r>
    </w:p>
    <w:p w14:paraId="165C21DA">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第二条 入库</w:t>
      </w:r>
    </w:p>
    <w:p w14:paraId="189C29D4">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固定资产入库时，库管员同交货人要办理好交接手续，核对实物</w:t>
      </w:r>
      <w:r>
        <w:rPr>
          <w:rFonts w:hint="eastAsia" w:asciiTheme="minorEastAsia" w:hAnsiTheme="minorEastAsia" w:eastAsiaTheme="minorEastAsia" w:cstheme="minorEastAsia"/>
          <w:b w:val="0"/>
          <w:bCs w:val="0"/>
          <w:sz w:val="24"/>
          <w:szCs w:val="24"/>
          <w:lang w:val="en-US" w:eastAsia="zh-CN"/>
        </w:rPr>
        <w:t>与</w:t>
      </w:r>
      <w:r>
        <w:rPr>
          <w:rFonts w:hint="eastAsia" w:asciiTheme="minorEastAsia" w:hAnsiTheme="minorEastAsia" w:eastAsiaTheme="minorEastAsia" w:cstheme="minorEastAsia"/>
          <w:b w:val="0"/>
          <w:bCs w:val="0"/>
          <w:sz w:val="24"/>
          <w:szCs w:val="24"/>
        </w:rPr>
        <w:t>入库单是否一致</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并</w:t>
      </w:r>
      <w:r>
        <w:rPr>
          <w:rFonts w:hint="eastAsia" w:asciiTheme="minorEastAsia" w:hAnsiTheme="minorEastAsia" w:eastAsiaTheme="minorEastAsia" w:cstheme="minorEastAsia"/>
          <w:b w:val="0"/>
          <w:bCs w:val="0"/>
          <w:sz w:val="24"/>
          <w:szCs w:val="24"/>
        </w:rPr>
        <w:t>做好</w:t>
      </w:r>
      <w:r>
        <w:rPr>
          <w:rFonts w:hint="eastAsia" w:asciiTheme="minorEastAsia" w:hAnsiTheme="minorEastAsia" w:eastAsiaTheme="minorEastAsia" w:cstheme="minorEastAsia"/>
          <w:b w:val="0"/>
          <w:bCs w:val="0"/>
          <w:sz w:val="24"/>
          <w:szCs w:val="24"/>
          <w:lang w:val="en-US" w:eastAsia="zh-CN"/>
        </w:rPr>
        <w:t>初</w:t>
      </w:r>
      <w:r>
        <w:rPr>
          <w:rFonts w:hint="eastAsia" w:asciiTheme="minorEastAsia" w:hAnsiTheme="minorEastAsia" w:eastAsiaTheme="minorEastAsia" w:cstheme="minorEastAsia"/>
          <w:b w:val="0"/>
          <w:bCs w:val="0"/>
          <w:sz w:val="24"/>
          <w:szCs w:val="24"/>
        </w:rPr>
        <w:t>验</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登记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入账等工作</w:t>
      </w:r>
      <w:r>
        <w:rPr>
          <w:rFonts w:hint="eastAsia" w:asciiTheme="minorEastAsia" w:hAnsiTheme="minorEastAsia" w:eastAsiaTheme="minorEastAsia" w:cstheme="minorEastAsia"/>
          <w:b w:val="0"/>
          <w:bCs w:val="0"/>
          <w:sz w:val="24"/>
          <w:szCs w:val="24"/>
          <w:lang w:eastAsia="zh-CN"/>
        </w:rPr>
        <w:t>。</w:t>
      </w:r>
    </w:p>
    <w:p w14:paraId="14EEDEEF">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第三条 出库</w:t>
      </w:r>
    </w:p>
    <w:p w14:paraId="1AB46E6C">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各科室领用固定资产前</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必须</w:t>
      </w:r>
      <w:r>
        <w:rPr>
          <w:rFonts w:hint="eastAsia" w:asciiTheme="minorEastAsia" w:hAnsiTheme="minorEastAsia" w:eastAsiaTheme="minorEastAsia" w:cstheme="minorEastAsia"/>
          <w:b w:val="0"/>
          <w:bCs w:val="0"/>
          <w:sz w:val="24"/>
          <w:szCs w:val="24"/>
          <w:lang w:val="en-US" w:eastAsia="zh-CN"/>
        </w:rPr>
        <w:t>填写</w:t>
      </w:r>
      <w:r>
        <w:rPr>
          <w:rFonts w:hint="eastAsia" w:asciiTheme="minorEastAsia" w:hAnsiTheme="minorEastAsia" w:eastAsiaTheme="minorEastAsia" w:cstheme="minorEastAsia"/>
          <w:b w:val="0"/>
          <w:bCs w:val="0"/>
          <w:sz w:val="24"/>
          <w:szCs w:val="24"/>
        </w:rPr>
        <w:t>出库单</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由</w:t>
      </w:r>
      <w:r>
        <w:rPr>
          <w:rFonts w:hint="eastAsia" w:asciiTheme="minorEastAsia" w:hAnsiTheme="minorEastAsia" w:eastAsiaTheme="minorEastAsia" w:cstheme="minorEastAsia"/>
          <w:b w:val="0"/>
          <w:bCs w:val="0"/>
          <w:sz w:val="24"/>
          <w:szCs w:val="24"/>
          <w:lang w:eastAsia="zh-CN"/>
        </w:rPr>
        <w:t>具体工作人员</w:t>
      </w:r>
      <w:r>
        <w:rPr>
          <w:rFonts w:hint="eastAsia" w:asciiTheme="minorEastAsia" w:hAnsiTheme="minorEastAsia" w:eastAsiaTheme="minorEastAsia" w:cstheme="minorEastAsia"/>
          <w:b w:val="0"/>
          <w:bCs w:val="0"/>
          <w:sz w:val="24"/>
          <w:szCs w:val="24"/>
        </w:rPr>
        <w:t>和办公室主任</w:t>
      </w:r>
      <w:r>
        <w:rPr>
          <w:rFonts w:hint="eastAsia" w:asciiTheme="minorEastAsia" w:hAnsiTheme="minorEastAsia" w:eastAsiaTheme="minorEastAsia" w:cstheme="minorEastAsia"/>
          <w:b w:val="0"/>
          <w:bCs w:val="0"/>
          <w:sz w:val="24"/>
          <w:szCs w:val="24"/>
          <w:lang w:val="en-US" w:eastAsia="zh-CN"/>
        </w:rPr>
        <w:t>同时</w:t>
      </w:r>
      <w:r>
        <w:rPr>
          <w:rFonts w:hint="eastAsia" w:asciiTheme="minorEastAsia" w:hAnsiTheme="minorEastAsia" w:eastAsiaTheme="minorEastAsia" w:cstheme="minorEastAsia"/>
          <w:b w:val="0"/>
          <w:bCs w:val="0"/>
          <w:sz w:val="24"/>
          <w:szCs w:val="24"/>
        </w:rPr>
        <w:t>签字</w:t>
      </w:r>
      <w:r>
        <w:rPr>
          <w:rFonts w:hint="eastAsia" w:asciiTheme="minorEastAsia" w:hAnsiTheme="minorEastAsia" w:eastAsiaTheme="minorEastAsia" w:cstheme="minorEastAsia"/>
          <w:b w:val="0"/>
          <w:bCs w:val="0"/>
          <w:sz w:val="24"/>
          <w:szCs w:val="24"/>
          <w:lang w:val="en-US" w:eastAsia="zh-CN"/>
        </w:rPr>
        <w:t>后</w:t>
      </w:r>
      <w:r>
        <w:rPr>
          <w:rFonts w:hint="eastAsia" w:asciiTheme="minorEastAsia" w:hAnsiTheme="minorEastAsia" w:eastAsiaTheme="minorEastAsia" w:cstheme="minorEastAsia"/>
          <w:b w:val="0"/>
          <w:bCs w:val="0"/>
          <w:sz w:val="24"/>
          <w:szCs w:val="24"/>
        </w:rPr>
        <w:t>方可出库</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无法同时签字时，可经另一方同意后补签，</w:t>
      </w:r>
      <w:r>
        <w:rPr>
          <w:rFonts w:hint="eastAsia" w:asciiTheme="minorEastAsia" w:hAnsiTheme="minorEastAsia" w:eastAsiaTheme="minorEastAsia" w:cstheme="minorEastAsia"/>
          <w:b w:val="0"/>
          <w:bCs w:val="0"/>
          <w:sz w:val="24"/>
          <w:szCs w:val="24"/>
          <w:lang w:eastAsia="zh-CN"/>
        </w:rPr>
        <w:t>具体工作人员</w:t>
      </w:r>
      <w:r>
        <w:rPr>
          <w:rFonts w:hint="eastAsia" w:asciiTheme="minorEastAsia" w:hAnsiTheme="minorEastAsia" w:eastAsiaTheme="minorEastAsia" w:cstheme="minorEastAsia"/>
          <w:b w:val="0"/>
          <w:bCs w:val="0"/>
          <w:sz w:val="24"/>
          <w:szCs w:val="24"/>
        </w:rPr>
        <w:t>做好出库登记</w:t>
      </w:r>
      <w:r>
        <w:rPr>
          <w:rFonts w:hint="eastAsia" w:asciiTheme="minorEastAsia" w:hAnsiTheme="minorEastAsia" w:eastAsiaTheme="minorEastAsia" w:cstheme="minorEastAsia"/>
          <w:b w:val="0"/>
          <w:bCs w:val="0"/>
          <w:sz w:val="24"/>
          <w:szCs w:val="24"/>
          <w:lang w:eastAsia="zh-CN"/>
        </w:rPr>
        <w:t>。</w:t>
      </w:r>
    </w:p>
    <w:p w14:paraId="7349F086">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第四条 管理</w:t>
      </w:r>
    </w:p>
    <w:p w14:paraId="61D021B7">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各</w:t>
      </w:r>
      <w:r>
        <w:rPr>
          <w:rFonts w:hint="eastAsia" w:asciiTheme="minorEastAsia" w:hAnsiTheme="minorEastAsia" w:eastAsiaTheme="minorEastAsia" w:cstheme="minorEastAsia"/>
          <w:b w:val="0"/>
          <w:bCs w:val="0"/>
          <w:sz w:val="24"/>
          <w:szCs w:val="24"/>
        </w:rPr>
        <w:t>科室应坚持责任到人</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物尽其用的原则</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加强对</w:t>
      </w:r>
      <w:r>
        <w:rPr>
          <w:rFonts w:hint="eastAsia" w:asciiTheme="minorEastAsia" w:hAnsiTheme="minorEastAsia" w:eastAsiaTheme="minorEastAsia" w:cstheme="minorEastAsia"/>
          <w:b w:val="0"/>
          <w:bCs w:val="0"/>
          <w:sz w:val="24"/>
          <w:szCs w:val="24"/>
        </w:rPr>
        <w:t>固定资产的管理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使用人对所用固定资产负有保管维护责任，</w:t>
      </w:r>
      <w:r>
        <w:rPr>
          <w:rFonts w:hint="eastAsia" w:asciiTheme="minorEastAsia" w:hAnsiTheme="minorEastAsia" w:eastAsiaTheme="minorEastAsia" w:cstheme="minorEastAsia"/>
          <w:b w:val="0"/>
          <w:bCs w:val="0"/>
          <w:sz w:val="24"/>
          <w:szCs w:val="24"/>
          <w:lang w:val="en-US" w:eastAsia="zh-CN"/>
        </w:rPr>
        <w:t>确保</w:t>
      </w:r>
      <w:r>
        <w:rPr>
          <w:rFonts w:hint="eastAsia" w:asciiTheme="minorEastAsia" w:hAnsiTheme="minorEastAsia" w:eastAsiaTheme="minorEastAsia" w:cstheme="minorEastAsia"/>
          <w:b w:val="0"/>
          <w:bCs w:val="0"/>
          <w:sz w:val="24"/>
          <w:szCs w:val="24"/>
        </w:rPr>
        <w:t>安全和完整。</w:t>
      </w:r>
    </w:p>
    <w:p w14:paraId="431E996A">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第五条</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监督</w:t>
      </w:r>
    </w:p>
    <w:p w14:paraId="2447CA41">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办公室负责对固定资产的使用管理进行指导和监督。年度财务</w:t>
      </w:r>
      <w:r>
        <w:rPr>
          <w:rFonts w:hint="eastAsia" w:asciiTheme="minorEastAsia" w:hAnsiTheme="minorEastAsia" w:eastAsiaTheme="minorEastAsia" w:cstheme="minorEastAsia"/>
          <w:b w:val="0"/>
          <w:bCs w:val="0"/>
          <w:sz w:val="24"/>
          <w:szCs w:val="24"/>
          <w:lang w:val="en-US" w:eastAsia="zh-CN"/>
        </w:rPr>
        <w:t>监管。</w:t>
      </w:r>
      <w:r>
        <w:rPr>
          <w:rFonts w:hint="eastAsia" w:asciiTheme="minorEastAsia" w:hAnsiTheme="minorEastAsia" w:eastAsiaTheme="minorEastAsia" w:cstheme="minorEastAsia"/>
          <w:b w:val="0"/>
          <w:bCs w:val="0"/>
          <w:sz w:val="24"/>
          <w:szCs w:val="24"/>
        </w:rPr>
        <w:t>决算前，财务人员要与</w:t>
      </w:r>
      <w:r>
        <w:rPr>
          <w:rFonts w:hint="eastAsia" w:asciiTheme="minorEastAsia" w:hAnsiTheme="minorEastAsia" w:eastAsiaTheme="minorEastAsia" w:cstheme="minorEastAsia"/>
          <w:b w:val="0"/>
          <w:bCs w:val="0"/>
          <w:sz w:val="24"/>
          <w:szCs w:val="24"/>
          <w:lang w:eastAsia="zh-CN"/>
        </w:rPr>
        <w:t>具体工作人员</w:t>
      </w:r>
      <w:r>
        <w:rPr>
          <w:rFonts w:hint="eastAsia" w:asciiTheme="minorEastAsia" w:hAnsiTheme="minorEastAsia" w:eastAsiaTheme="minorEastAsia" w:cstheme="minorEastAsia"/>
          <w:b w:val="0"/>
          <w:bCs w:val="0"/>
          <w:sz w:val="24"/>
          <w:szCs w:val="24"/>
        </w:rPr>
        <w:t>共同做好固定资产盘点工作</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库管</w:t>
      </w:r>
      <w:r>
        <w:rPr>
          <w:rFonts w:hint="eastAsia" w:asciiTheme="minorEastAsia" w:hAnsiTheme="minorEastAsia" w:eastAsiaTheme="minorEastAsia" w:cstheme="minorEastAsia"/>
          <w:b w:val="0"/>
          <w:bCs w:val="0"/>
          <w:sz w:val="24"/>
          <w:szCs w:val="24"/>
        </w:rPr>
        <w:t>员对闲置固定资产负有保管责任，注意防水</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防火</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防潮</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防盗</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防腐蚀</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卫生等。并对所管资产的安全完整性负有责任，工作调动时必须办理交接手续</w:t>
      </w:r>
      <w:r>
        <w:rPr>
          <w:rFonts w:hint="eastAsia" w:asciiTheme="minorEastAsia" w:hAnsiTheme="minorEastAsia" w:eastAsiaTheme="minorEastAsia" w:cstheme="minorEastAsia"/>
          <w:b w:val="0"/>
          <w:bCs w:val="0"/>
          <w:sz w:val="24"/>
          <w:szCs w:val="24"/>
          <w:lang w:eastAsia="zh-CN"/>
        </w:rPr>
        <w:t>。</w:t>
      </w:r>
    </w:p>
    <w:p w14:paraId="4D156C2A">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第六条 报废。</w:t>
      </w:r>
    </w:p>
    <w:p w14:paraId="4193E21B">
      <w:pPr>
        <w:keepNext w:val="0"/>
        <w:keepLines w:val="0"/>
        <w:pageBreakBefore w:val="0"/>
        <w:numPr>
          <w:ilvl w:val="0"/>
          <w:numId w:val="0"/>
        </w:numPr>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严格按照《白城市市直行政事业单位通用办公设备家具配置标准》要求，核定固定资产使用年限和报废标准，</w:t>
      </w:r>
      <w:r>
        <w:rPr>
          <w:rFonts w:hint="eastAsia" w:asciiTheme="minorEastAsia" w:hAnsiTheme="minorEastAsia" w:eastAsiaTheme="minorEastAsia" w:cstheme="minorEastAsia"/>
          <w:b w:val="0"/>
          <w:bCs w:val="0"/>
          <w:sz w:val="24"/>
          <w:szCs w:val="24"/>
        </w:rPr>
        <w:t>对超出使用年限或没有使用价值的固定资产，要及时向</w:t>
      </w:r>
      <w:r>
        <w:rPr>
          <w:rFonts w:hint="eastAsia" w:asciiTheme="minorEastAsia" w:hAnsiTheme="minorEastAsia" w:eastAsiaTheme="minorEastAsia" w:cstheme="minorEastAsia"/>
          <w:b w:val="0"/>
          <w:bCs w:val="0"/>
          <w:sz w:val="24"/>
          <w:szCs w:val="24"/>
          <w:lang w:val="en-US" w:eastAsia="zh-CN"/>
        </w:rPr>
        <w:t>财政</w:t>
      </w:r>
      <w:r>
        <w:rPr>
          <w:rFonts w:hint="eastAsia" w:asciiTheme="minorEastAsia" w:hAnsiTheme="minorEastAsia" w:eastAsiaTheme="minorEastAsia" w:cstheme="minorEastAsia"/>
          <w:b w:val="0"/>
          <w:bCs w:val="0"/>
          <w:sz w:val="24"/>
          <w:szCs w:val="24"/>
        </w:rPr>
        <w:t>部门报送固定资产报废申请，</w:t>
      </w:r>
      <w:r>
        <w:rPr>
          <w:rFonts w:hint="eastAsia" w:asciiTheme="minorEastAsia" w:hAnsiTheme="minorEastAsia" w:eastAsiaTheme="minorEastAsia" w:cstheme="minorEastAsia"/>
          <w:b w:val="0"/>
          <w:bCs w:val="0"/>
          <w:sz w:val="24"/>
          <w:szCs w:val="24"/>
          <w:lang w:val="en-US" w:eastAsia="zh-CN"/>
        </w:rPr>
        <w:t>配合相关部门予以报废。</w:t>
      </w:r>
    </w:p>
    <w:p w14:paraId="198AD31B">
      <w:pPr>
        <w:keepNext w:val="0"/>
        <w:keepLines w:val="0"/>
        <w:pageBreakBefore w:val="0"/>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第七条 违反本制度规定超标准购置资产的，或非正常使用和人为故意造成资产破损的，依据有关规定追究相关责任人责任。</w:t>
      </w:r>
    </w:p>
    <w:p w14:paraId="4F390565">
      <w:pPr>
        <w:keepNext w:val="0"/>
        <w:keepLines w:val="0"/>
        <w:pageBreakBefore w:val="0"/>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第八条  直属事业单位参照本制度执行。</w:t>
      </w:r>
    </w:p>
    <w:p w14:paraId="14059C2B">
      <w:pPr>
        <w:keepNext w:val="0"/>
        <w:keepLines w:val="0"/>
        <w:pageBreakBefore w:val="0"/>
        <w:kinsoku/>
        <w:overflowPunct/>
        <w:topLinePunct w:val="0"/>
        <w:autoSpaceDE/>
        <w:autoSpaceDN/>
        <w:bidi w:val="0"/>
        <w:adjustRightInd/>
        <w:snapToGrid/>
        <w:spacing w:line="58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第九条  本制度自公布之日起施行。</w:t>
      </w:r>
    </w:p>
    <w:p w14:paraId="7AF24A59">
      <w:pPr>
        <w:pStyle w:val="14"/>
        <w:keepNext w:val="0"/>
        <w:keepLines w:val="0"/>
        <w:pageBreakBefore w:val="0"/>
        <w:kinsoku/>
        <w:wordWrap w:val="0"/>
        <w:overflowPunct/>
        <w:topLinePunct w:val="0"/>
        <w:autoSpaceDE/>
        <w:autoSpaceDN/>
        <w:bidi w:val="0"/>
        <w:adjustRightInd/>
        <w:snapToGrid/>
        <w:spacing w:before="0" w:beforeAutospacing="0" w:after="0" w:afterAutospacing="0" w:line="580" w:lineRule="exact"/>
        <w:ind w:left="0" w:firstLine="1084" w:firstLineChars="300"/>
        <w:jc w:val="both"/>
        <w:textAlignment w:val="auto"/>
        <w:rPr>
          <w:rFonts w:hint="eastAsia" w:asciiTheme="minorEastAsia" w:hAnsiTheme="minorEastAsia" w:eastAsiaTheme="minorEastAsia" w:cstheme="minorEastAsia"/>
          <w:b/>
          <w:bCs/>
          <w:color w:val="auto"/>
          <w:sz w:val="36"/>
          <w:szCs w:val="36"/>
        </w:rPr>
      </w:pPr>
    </w:p>
    <w:p w14:paraId="62C2FB4F">
      <w:pPr>
        <w:pStyle w:val="14"/>
        <w:keepNext w:val="0"/>
        <w:keepLines w:val="0"/>
        <w:pageBreakBefore w:val="0"/>
        <w:kinsoku/>
        <w:wordWrap w:val="0"/>
        <w:overflowPunct/>
        <w:topLinePunct w:val="0"/>
        <w:autoSpaceDE/>
        <w:autoSpaceDN/>
        <w:bidi w:val="0"/>
        <w:adjustRightInd/>
        <w:snapToGrid/>
        <w:spacing w:before="0" w:beforeAutospacing="0" w:after="0" w:afterAutospacing="0" w:line="580" w:lineRule="exact"/>
        <w:ind w:left="0" w:firstLine="1084" w:firstLineChars="300"/>
        <w:jc w:val="both"/>
        <w:textAlignment w:val="auto"/>
        <w:rPr>
          <w:rFonts w:hint="eastAsia" w:asciiTheme="minorEastAsia" w:hAnsiTheme="minorEastAsia" w:eastAsiaTheme="minorEastAsia" w:cstheme="minorEastAsia"/>
          <w:b/>
          <w:bCs/>
          <w:color w:val="auto"/>
          <w:sz w:val="36"/>
          <w:szCs w:val="36"/>
        </w:rPr>
      </w:pPr>
    </w:p>
    <w:p w14:paraId="4165ACAA">
      <w:pPr>
        <w:pStyle w:val="14"/>
        <w:keepNext w:val="0"/>
        <w:keepLines w:val="0"/>
        <w:pageBreakBefore w:val="0"/>
        <w:kinsoku/>
        <w:wordWrap w:val="0"/>
        <w:overflowPunct/>
        <w:topLinePunct w:val="0"/>
        <w:autoSpaceDE/>
        <w:autoSpaceDN/>
        <w:bidi w:val="0"/>
        <w:adjustRightInd/>
        <w:snapToGrid/>
        <w:spacing w:before="0" w:beforeAutospacing="0" w:after="0" w:afterAutospacing="0" w:line="580" w:lineRule="exact"/>
        <w:ind w:left="0" w:firstLine="1084" w:firstLineChars="300"/>
        <w:jc w:val="both"/>
        <w:textAlignment w:val="auto"/>
        <w:rPr>
          <w:rFonts w:hint="eastAsia" w:asciiTheme="minorEastAsia" w:hAnsiTheme="minorEastAsia" w:eastAsiaTheme="minorEastAsia" w:cstheme="minorEastAsia"/>
          <w:b/>
          <w:bCs/>
          <w:color w:val="auto"/>
          <w:sz w:val="36"/>
          <w:szCs w:val="36"/>
        </w:rPr>
      </w:pPr>
    </w:p>
    <w:p w14:paraId="0ED0C29C">
      <w:pPr>
        <w:pStyle w:val="7"/>
        <w:rPr>
          <w:rFonts w:hint="eastAsia" w:asciiTheme="minorEastAsia" w:hAnsiTheme="minorEastAsia" w:eastAsiaTheme="minorEastAsia" w:cstheme="minorEastAsia"/>
          <w:b/>
          <w:bCs/>
          <w:color w:val="auto"/>
          <w:sz w:val="36"/>
          <w:szCs w:val="36"/>
        </w:rPr>
      </w:pPr>
    </w:p>
    <w:p w14:paraId="61C15F13">
      <w:pPr>
        <w:rPr>
          <w:rFonts w:hint="eastAsia" w:asciiTheme="minorEastAsia" w:hAnsiTheme="minorEastAsia" w:eastAsiaTheme="minorEastAsia" w:cstheme="minorEastAsia"/>
          <w:b/>
          <w:bCs/>
          <w:color w:val="auto"/>
          <w:sz w:val="36"/>
          <w:szCs w:val="36"/>
        </w:rPr>
      </w:pPr>
    </w:p>
    <w:p w14:paraId="3718419E">
      <w:pPr>
        <w:pStyle w:val="2"/>
        <w:rPr>
          <w:rFonts w:hint="eastAsia" w:asciiTheme="minorEastAsia" w:hAnsiTheme="minorEastAsia" w:eastAsiaTheme="minorEastAsia" w:cstheme="minorEastAsia"/>
          <w:b/>
          <w:bCs/>
          <w:color w:val="auto"/>
          <w:sz w:val="36"/>
          <w:szCs w:val="36"/>
        </w:rPr>
      </w:pPr>
    </w:p>
    <w:p w14:paraId="413A2E89">
      <w:pPr>
        <w:rPr>
          <w:rFonts w:hint="eastAsia" w:asciiTheme="minorEastAsia" w:hAnsiTheme="minorEastAsia" w:eastAsiaTheme="minorEastAsia" w:cstheme="minorEastAsia"/>
          <w:b/>
          <w:bCs/>
          <w:color w:val="auto"/>
          <w:sz w:val="36"/>
          <w:szCs w:val="36"/>
        </w:rPr>
      </w:pPr>
    </w:p>
    <w:p w14:paraId="087BC216">
      <w:pPr>
        <w:pStyle w:val="2"/>
        <w:rPr>
          <w:rFonts w:hint="eastAsia"/>
        </w:rPr>
      </w:pPr>
    </w:p>
    <w:p w14:paraId="5CA6CC1E">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3F56E575">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7FC5E398">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36C0E343">
      <w:pPr>
        <w:pStyle w:val="14"/>
        <w:pageBreakBefore w:val="0"/>
        <w:kinsoku/>
        <w:wordWrap w:val="0"/>
        <w:overflowPunct/>
        <w:topLinePunct w:val="0"/>
        <w:bidi w:val="0"/>
        <w:spacing w:before="0" w:beforeAutospacing="0" w:after="0" w:afterAutospacing="0" w:line="580" w:lineRule="exact"/>
        <w:ind w:left="0" w:firstLine="1084" w:firstLineChars="300"/>
        <w:jc w:val="both"/>
        <w:rPr>
          <w:rFonts w:hint="eastAsia" w:asciiTheme="minorEastAsia" w:hAnsiTheme="minorEastAsia" w:eastAsiaTheme="minorEastAsia" w:cstheme="minorEastAsia"/>
          <w:b/>
          <w:bCs/>
          <w:color w:val="auto"/>
          <w:sz w:val="36"/>
          <w:szCs w:val="36"/>
        </w:rPr>
      </w:pPr>
    </w:p>
    <w:p w14:paraId="18AD940A">
      <w:pPr>
        <w:pStyle w:val="3"/>
        <w:bidi w:val="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工作人员行为</w:t>
      </w:r>
      <w:r>
        <w:rPr>
          <w:rFonts w:hint="eastAsia" w:asciiTheme="minorEastAsia" w:hAnsiTheme="minorEastAsia" w:eastAsiaTheme="minorEastAsia" w:cstheme="minorEastAsia"/>
          <w:b/>
          <w:bCs/>
          <w:lang w:eastAsia="zh-CN"/>
        </w:rPr>
        <w:t>管理制度</w:t>
      </w:r>
    </w:p>
    <w:p w14:paraId="1269C744">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i w:val="0"/>
          <w:caps w:val="0"/>
          <w:color w:val="auto"/>
          <w:spacing w:val="0"/>
          <w:sz w:val="24"/>
          <w:szCs w:val="24"/>
          <w:shd w:val="clear" w:fill="FFFFFF"/>
        </w:rPr>
        <w:t>为了</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加强机关及事业单位的</w:t>
      </w:r>
      <w:r>
        <w:rPr>
          <w:rFonts w:hint="eastAsia" w:asciiTheme="minorEastAsia" w:hAnsiTheme="minorEastAsia" w:eastAsiaTheme="minorEastAsia" w:cstheme="minorEastAsia"/>
          <w:b w:val="0"/>
          <w:bCs w:val="0"/>
          <w:i w:val="0"/>
          <w:caps w:val="0"/>
          <w:color w:val="auto"/>
          <w:spacing w:val="0"/>
          <w:sz w:val="24"/>
          <w:szCs w:val="24"/>
          <w:shd w:val="clear" w:fill="FFFFFF"/>
        </w:rPr>
        <w:t>管理、提</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升工作人员</w:t>
      </w:r>
      <w:r>
        <w:rPr>
          <w:rFonts w:hint="eastAsia" w:asciiTheme="minorEastAsia" w:hAnsiTheme="minorEastAsia" w:eastAsiaTheme="minorEastAsia" w:cstheme="minorEastAsia"/>
          <w:b w:val="0"/>
          <w:bCs w:val="0"/>
          <w:i w:val="0"/>
          <w:caps w:val="0"/>
          <w:color w:val="auto"/>
          <w:spacing w:val="0"/>
          <w:sz w:val="24"/>
          <w:szCs w:val="24"/>
          <w:shd w:val="clear" w:fill="FFFFFF"/>
        </w:rPr>
        <w:t>的全面素质</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结合白城市医疗保障局工作实际，</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制定本制度。</w:t>
      </w:r>
    </w:p>
    <w:p w14:paraId="1C63CE09">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第一条 </w:t>
      </w:r>
      <w:r>
        <w:rPr>
          <w:rFonts w:hint="eastAsia" w:asciiTheme="minorEastAsia" w:hAnsiTheme="minorEastAsia" w:eastAsiaTheme="minorEastAsia" w:cstheme="minorEastAsia"/>
          <w:b w:val="0"/>
          <w:bCs w:val="0"/>
          <w:color w:val="auto"/>
          <w:sz w:val="24"/>
          <w:szCs w:val="24"/>
        </w:rPr>
        <w:t>政治坚定。认真学习马克思列宁主义、毛泽东思想、邓小平理论和“三个代表”重要思想,深入贯彻落实科学发展观,深刻领会习近平总书记关于党的建设的重要论述及“中国梦”的战略思想,坚持党的基本理论、基本路线和基本纲领,在思想上、政治上和行动上与党中央保持高度一致。</w:t>
      </w:r>
    </w:p>
    <w:p w14:paraId="2A2F9F4A">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第二条 </w:t>
      </w:r>
      <w:r>
        <w:rPr>
          <w:rFonts w:hint="eastAsia" w:asciiTheme="minorEastAsia" w:hAnsiTheme="minorEastAsia" w:eastAsiaTheme="minorEastAsia" w:cstheme="minorEastAsia"/>
          <w:b w:val="0"/>
          <w:bCs w:val="0"/>
          <w:color w:val="auto"/>
          <w:sz w:val="24"/>
          <w:szCs w:val="24"/>
        </w:rPr>
        <w:t>忠于国家。热爱祖国,忠于宪法,维护国家安全、荣誉和利益,维护国家统一和民族的团结,维护政府形象和权威,保证政令畅通。遵守外事纪律,维护国格、人格尊严,严守国家秘密,同一切危害国家利益的言行作斗争。</w:t>
      </w:r>
    </w:p>
    <w:p w14:paraId="11463A08">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第三条 </w:t>
      </w:r>
      <w:r>
        <w:rPr>
          <w:rFonts w:hint="eastAsia" w:asciiTheme="minorEastAsia" w:hAnsiTheme="minorEastAsia" w:eastAsiaTheme="minorEastAsia" w:cstheme="minorEastAsia"/>
          <w:b w:val="0"/>
          <w:bCs w:val="0"/>
          <w:color w:val="auto"/>
          <w:sz w:val="24"/>
          <w:szCs w:val="24"/>
        </w:rPr>
        <w:t>勤政为民。忠于职守,爱岗敬业,勤奋工作,钻研业务,甘于奉献。一切从人民利益出发,热爱人民,忠于人民,全心全意为人民服务,密切联系群众,关心群众疾苦,维护群众合法权益,体察民情,了解民意,集中民智,珍惜民力,力戒形式主义、官僚主义,改进工作作风,讲求工作方法,注重工作效率,提高工作质量。自觉做人民公仆,让人民满意。</w:t>
      </w:r>
    </w:p>
    <w:p w14:paraId="480DC625">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第四条 </w:t>
      </w:r>
      <w:r>
        <w:rPr>
          <w:rFonts w:hint="eastAsia" w:asciiTheme="minorEastAsia" w:hAnsiTheme="minorEastAsia" w:eastAsiaTheme="minorEastAsia" w:cstheme="minorEastAsia"/>
          <w:b w:val="0"/>
          <w:bCs w:val="0"/>
          <w:color w:val="auto"/>
          <w:sz w:val="24"/>
          <w:szCs w:val="24"/>
        </w:rPr>
        <w:t>依法行政。遵守国家法律、法规和规章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按照规定的职责权限和工作程序履行职责,执行公务,依法办事,严格执法,公正执法,文明执法,不滥用权力,不以权代法,做学法、守法、用法和维护法律、法规尊严的模范。</w:t>
      </w:r>
    </w:p>
    <w:p w14:paraId="1039C21D">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第五条 </w:t>
      </w:r>
      <w:r>
        <w:rPr>
          <w:rFonts w:hint="eastAsia" w:asciiTheme="minorEastAsia" w:hAnsiTheme="minorEastAsia" w:eastAsiaTheme="minorEastAsia" w:cstheme="minorEastAsia"/>
          <w:b w:val="0"/>
          <w:bCs w:val="0"/>
          <w:color w:val="auto"/>
          <w:sz w:val="24"/>
          <w:szCs w:val="24"/>
        </w:rPr>
        <w:t>务实创新。解放思想,实事求是,理论联系实际,说实话,报实情,办实事,求实效,踏实肯干。勤于思考,勇于创新,与时俱进,锐意进取,大胆开拓,创造性地开展工作。</w:t>
      </w:r>
    </w:p>
    <w:p w14:paraId="04DFF6C7">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第六条 </w:t>
      </w:r>
      <w:r>
        <w:rPr>
          <w:rFonts w:hint="eastAsia" w:asciiTheme="minorEastAsia" w:hAnsiTheme="minorEastAsia" w:eastAsiaTheme="minorEastAsia" w:cstheme="minorEastAsia"/>
          <w:b w:val="0"/>
          <w:bCs w:val="0"/>
          <w:color w:val="auto"/>
          <w:sz w:val="24"/>
          <w:szCs w:val="24"/>
        </w:rPr>
        <w:t>清正廉洁。克己奉公,秉公办事,遵守纪律,不徇私情,不以权谋私,不贪赃枉法。淡泊名利,艰苦奋斗,勤俭节约,爱惜国家资财,反对拜金主义享乐主义。公私分明,不以权谋私</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不取不义之财</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管好家属和身边工作人员,带动他们廉洁守法。克己奉公</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热爱工作,一心扑在工作</w:t>
      </w:r>
      <w:r>
        <w:rPr>
          <w:rFonts w:hint="eastAsia" w:asciiTheme="minorEastAsia" w:hAnsiTheme="minorEastAsia" w:eastAsiaTheme="minorEastAsia" w:cstheme="minorEastAsia"/>
          <w:b w:val="0"/>
          <w:bCs w:val="0"/>
          <w:color w:val="auto"/>
          <w:sz w:val="24"/>
          <w:szCs w:val="24"/>
          <w:lang w:eastAsia="zh-CN"/>
        </w:rPr>
        <w:t>上，</w:t>
      </w:r>
      <w:r>
        <w:rPr>
          <w:rFonts w:hint="eastAsia" w:asciiTheme="minorEastAsia" w:hAnsiTheme="minorEastAsia" w:eastAsiaTheme="minorEastAsia" w:cstheme="minorEastAsia"/>
          <w:b w:val="0"/>
          <w:bCs w:val="0"/>
          <w:color w:val="auto"/>
          <w:sz w:val="24"/>
          <w:szCs w:val="24"/>
        </w:rPr>
        <w:t>努力实现工作目标,尽职尽责完成任务</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忠于职守,以严谨的态度坚守工作岗位。艰苦朴素,勤俭节约。吃苦在前,享受在后。清正廉洁,不以权谋私。艰苦创业。</w:t>
      </w:r>
    </w:p>
    <w:p w14:paraId="1DA79C7E">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第七条 </w:t>
      </w:r>
      <w:r>
        <w:rPr>
          <w:rFonts w:hint="eastAsia" w:asciiTheme="minorEastAsia" w:hAnsiTheme="minorEastAsia" w:eastAsiaTheme="minorEastAsia" w:cstheme="minorEastAsia"/>
          <w:b w:val="0"/>
          <w:bCs w:val="0"/>
          <w:color w:val="auto"/>
          <w:sz w:val="24"/>
          <w:szCs w:val="24"/>
        </w:rPr>
        <w:t>团结协作。坚持民主集中制,不独断专行,不搞自由主义。认真执行上级的决定和命令,服从大局,相互配合,相互支持,团结一致,勇于批评与自我批评,齐心协力做好工作。交际行为规范:服从上级,关心下级,尊重同事,协调友邻。</w:t>
      </w:r>
    </w:p>
    <w:p w14:paraId="6777704A">
      <w:pPr>
        <w:pStyle w:val="8"/>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第八条 </w:t>
      </w:r>
      <w:r>
        <w:rPr>
          <w:rFonts w:hint="eastAsia" w:asciiTheme="minorEastAsia" w:hAnsiTheme="minorEastAsia" w:eastAsiaTheme="minorEastAsia" w:cstheme="minorEastAsia"/>
          <w:b w:val="0"/>
          <w:bCs w:val="0"/>
          <w:color w:val="auto"/>
          <w:sz w:val="24"/>
          <w:szCs w:val="24"/>
        </w:rPr>
        <w:t>品行端正。坚持真理,修正错误,崇尚科学,破除迷信。学习先进,助人为乐,谦虚谨慎,言行一致,忠诚守信,健康向上。模范遵守社会公德,举止端庄,仪表整洁,语言文明,讲普通话。</w:t>
      </w:r>
    </w:p>
    <w:p w14:paraId="446C97EB">
      <w:pPr>
        <w:pStyle w:val="5"/>
        <w:pageBreakBefore w:val="0"/>
        <w:kinsoku/>
        <w:wordWrap/>
        <w:overflowPunct/>
        <w:topLinePunct w:val="0"/>
        <w:autoSpaceDE/>
        <w:autoSpaceDN/>
        <w:bidi w:val="0"/>
        <w:adjustRightInd/>
        <w:spacing w:before="0" w:after="0" w:line="580" w:lineRule="exact"/>
        <w:ind w:left="0"/>
        <w:jc w:val="both"/>
        <w:textAlignment w:val="auto"/>
        <w:rPr>
          <w:rFonts w:hint="eastAsia" w:asciiTheme="minorEastAsia" w:hAnsiTheme="minorEastAsia" w:eastAsiaTheme="minorEastAsia" w:cstheme="minorEastAsia"/>
          <w:b/>
          <w:bCs/>
          <w:color w:val="auto"/>
          <w:sz w:val="36"/>
          <w:szCs w:val="36"/>
          <w:lang w:bidi="ar-SA"/>
        </w:rPr>
      </w:pPr>
      <w:bookmarkStart w:id="14" w:name="_Toc70056734"/>
    </w:p>
    <w:bookmarkEnd w:id="14"/>
    <w:p w14:paraId="3A490C86">
      <w:pPr>
        <w:pageBreakBefore w:val="0"/>
        <w:kinsoku/>
        <w:wordWrap/>
        <w:overflowPunct/>
        <w:topLinePunct w:val="0"/>
        <w:autoSpaceDE/>
        <w:autoSpaceDN/>
        <w:bidi w:val="0"/>
        <w:adjustRightInd/>
        <w:spacing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p>
    <w:p w14:paraId="1138F876">
      <w:pPr>
        <w:pageBreakBefore w:val="0"/>
        <w:kinsoku/>
        <w:wordWrap/>
        <w:overflowPunct/>
        <w:topLinePunct w:val="0"/>
        <w:autoSpaceDE/>
        <w:autoSpaceDN/>
        <w:bidi w:val="0"/>
        <w:adjustRightInd/>
        <w:spacing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p>
    <w:p w14:paraId="74C43E6A">
      <w:pPr>
        <w:pageBreakBefore w:val="0"/>
        <w:kinsoku/>
        <w:wordWrap/>
        <w:overflowPunct/>
        <w:topLinePunct w:val="0"/>
        <w:autoSpaceDE/>
        <w:autoSpaceDN/>
        <w:bidi w:val="0"/>
        <w:adjustRightInd/>
        <w:spacing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p>
    <w:p w14:paraId="5796747B">
      <w:pP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09B9BF6E">
      <w:pPr>
        <w:pStyle w:val="3"/>
        <w:bidi w:val="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学习制度</w:t>
      </w:r>
    </w:p>
    <w:p w14:paraId="7B779E0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为了</w:t>
      </w:r>
      <w:r>
        <w:rPr>
          <w:rFonts w:hint="eastAsia" w:asciiTheme="minorEastAsia" w:hAnsiTheme="minorEastAsia" w:eastAsiaTheme="minorEastAsia" w:cstheme="minorEastAsia"/>
          <w:b w:val="0"/>
          <w:bCs w:val="0"/>
          <w:color w:val="auto"/>
          <w:sz w:val="24"/>
          <w:szCs w:val="24"/>
        </w:rPr>
        <w:t>全面提高干部自身素质，努力建设一支政治上靠得住、组织上经得住、生活上耐得住、工作上撑得住、适应</w:t>
      </w:r>
      <w:r>
        <w:rPr>
          <w:rFonts w:hint="eastAsia" w:asciiTheme="minorEastAsia" w:hAnsiTheme="minorEastAsia" w:eastAsiaTheme="minorEastAsia" w:cstheme="minorEastAsia"/>
          <w:b w:val="0"/>
          <w:bCs w:val="0"/>
          <w:color w:val="auto"/>
          <w:sz w:val="24"/>
          <w:szCs w:val="24"/>
          <w:lang w:val="en-US" w:eastAsia="zh-CN"/>
        </w:rPr>
        <w:t>新时</w:t>
      </w:r>
      <w:r>
        <w:rPr>
          <w:rFonts w:hint="eastAsia" w:asciiTheme="minorEastAsia" w:hAnsiTheme="minorEastAsia" w:eastAsiaTheme="minorEastAsia" w:cstheme="minorEastAsia"/>
          <w:b w:val="0"/>
          <w:bCs w:val="0"/>
          <w:color w:val="auto"/>
          <w:sz w:val="24"/>
          <w:szCs w:val="24"/>
        </w:rPr>
        <w:t>代要求的高素质干部队伍。</w:t>
      </w:r>
      <w:r>
        <w:rPr>
          <w:rFonts w:hint="eastAsia" w:asciiTheme="minorEastAsia" w:hAnsiTheme="minorEastAsia" w:eastAsiaTheme="minorEastAsia" w:cstheme="minorEastAsia"/>
          <w:b w:val="0"/>
          <w:bCs w:val="0"/>
          <w:color w:val="auto"/>
          <w:sz w:val="24"/>
          <w:szCs w:val="24"/>
          <w:lang w:val="en-US" w:eastAsia="zh-CN"/>
        </w:rPr>
        <w:t>结合白城市医疗保障局工作实际，制定本制度。</w:t>
      </w:r>
      <w:r>
        <w:rPr>
          <w:rFonts w:hint="eastAsia" w:asciiTheme="minorEastAsia" w:hAnsiTheme="minorEastAsia" w:eastAsiaTheme="minorEastAsia" w:cstheme="minorEastAsia"/>
          <w:b w:val="0"/>
          <w:bCs w:val="0"/>
          <w:color w:val="auto"/>
          <w:sz w:val="24"/>
          <w:szCs w:val="24"/>
        </w:rPr>
        <w:t>各支部要组织全体</w:t>
      </w:r>
      <w:r>
        <w:rPr>
          <w:rFonts w:hint="eastAsia" w:asciiTheme="minorEastAsia" w:hAnsiTheme="minorEastAsia" w:eastAsiaTheme="minorEastAsia" w:cstheme="minorEastAsia"/>
          <w:b w:val="0"/>
          <w:bCs w:val="0"/>
          <w:color w:val="auto"/>
          <w:sz w:val="24"/>
          <w:szCs w:val="24"/>
          <w:lang w:val="en-US" w:eastAsia="zh-CN"/>
        </w:rPr>
        <w:t>党</w:t>
      </w:r>
      <w:r>
        <w:rPr>
          <w:rFonts w:hint="eastAsia" w:asciiTheme="minorEastAsia" w:hAnsiTheme="minorEastAsia" w:eastAsiaTheme="minorEastAsia" w:cstheme="minorEastAsia"/>
          <w:b w:val="0"/>
          <w:bCs w:val="0"/>
          <w:color w:val="auto"/>
          <w:sz w:val="24"/>
          <w:szCs w:val="24"/>
        </w:rPr>
        <w:t>员，认真开展以“三会一课”为主的学习教育活动。</w:t>
      </w:r>
    </w:p>
    <w:p w14:paraId="7BAC5577">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第一条 时间安排</w:t>
      </w:r>
    </w:p>
    <w:p w14:paraId="263CD103">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每周三下午为“党员学习活动日”进行集中学习</w:t>
      </w:r>
      <w:r>
        <w:rPr>
          <w:rFonts w:hint="eastAsia" w:asciiTheme="minorEastAsia" w:hAnsiTheme="minorEastAsia" w:eastAsiaTheme="minorEastAsia" w:cstheme="minorEastAsia"/>
          <w:b w:val="0"/>
          <w:bCs w:val="0"/>
          <w:color w:val="auto"/>
          <w:sz w:val="24"/>
          <w:szCs w:val="24"/>
          <w:lang w:eastAsia="zh-CN"/>
        </w:rPr>
        <w:t>。</w:t>
      </w:r>
    </w:p>
    <w:p w14:paraId="453091A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二</w:t>
      </w:r>
      <w:r>
        <w:rPr>
          <w:rFonts w:hint="eastAsia" w:asciiTheme="minorEastAsia" w:hAnsiTheme="minorEastAsia" w:eastAsiaTheme="minorEastAsia" w:cstheme="minorEastAsia"/>
          <w:b w:val="0"/>
          <w:bCs w:val="0"/>
          <w:color w:val="auto"/>
          <w:sz w:val="24"/>
          <w:szCs w:val="24"/>
        </w:rPr>
        <w:t>条 学习内容</w:t>
      </w:r>
    </w:p>
    <w:p w14:paraId="446FF34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重点是按照要求组织学习新时期党和国家的路线、方针、政策；学习党建、党风廉政建设、廉洁自律；学习党的政治理论和法律法规及上级有关文件精神；学习本部门的各种业务知识。</w:t>
      </w:r>
    </w:p>
    <w:p w14:paraId="4AF782FB">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三</w:t>
      </w:r>
      <w:r>
        <w:rPr>
          <w:rFonts w:hint="eastAsia" w:asciiTheme="minorEastAsia" w:hAnsiTheme="minorEastAsia" w:eastAsiaTheme="minorEastAsia" w:cstheme="minorEastAsia"/>
          <w:b w:val="0"/>
          <w:bCs w:val="0"/>
          <w:color w:val="auto"/>
          <w:sz w:val="24"/>
          <w:szCs w:val="24"/>
        </w:rPr>
        <w:t>条 学习形式</w:t>
      </w:r>
    </w:p>
    <w:p w14:paraId="008E52B1">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以支部为单位组织学习</w:t>
      </w:r>
      <w:r>
        <w:rPr>
          <w:rFonts w:hint="eastAsia" w:asciiTheme="minorEastAsia" w:hAnsiTheme="minorEastAsia" w:eastAsiaTheme="minorEastAsia" w:cstheme="minorEastAsia"/>
          <w:b w:val="0"/>
          <w:bCs w:val="0"/>
          <w:color w:val="auto"/>
          <w:sz w:val="24"/>
          <w:szCs w:val="24"/>
          <w:lang w:eastAsia="zh-CN"/>
        </w:rPr>
        <w:t>。</w:t>
      </w:r>
    </w:p>
    <w:p w14:paraId="759DE6F8">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以各科（室）轮流主讲及“谈感想、谈体会、谈认识”等形式相结合。</w:t>
      </w:r>
    </w:p>
    <w:p w14:paraId="61280C27">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四</w:t>
      </w:r>
      <w:r>
        <w:rPr>
          <w:rFonts w:hint="eastAsia" w:asciiTheme="minorEastAsia" w:hAnsiTheme="minorEastAsia" w:eastAsiaTheme="minorEastAsia" w:cstheme="minorEastAsia"/>
          <w:b w:val="0"/>
          <w:bCs w:val="0"/>
          <w:color w:val="auto"/>
          <w:sz w:val="24"/>
          <w:szCs w:val="24"/>
        </w:rPr>
        <w:t>条 学习要求</w:t>
      </w:r>
    </w:p>
    <w:p w14:paraId="12F26441">
      <w:pPr>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要遵守学习纪律，自觉参加学习，不得迟到、早退，不得无故缺席，有事请假需支部书记批准</w:t>
      </w:r>
      <w:r>
        <w:rPr>
          <w:rFonts w:hint="eastAsia" w:asciiTheme="minorEastAsia" w:hAnsiTheme="minorEastAsia" w:eastAsiaTheme="minorEastAsia" w:cstheme="minorEastAsia"/>
          <w:b w:val="0"/>
          <w:bCs w:val="0"/>
          <w:color w:val="auto"/>
          <w:sz w:val="24"/>
          <w:szCs w:val="24"/>
          <w:lang w:eastAsia="zh-CN"/>
        </w:rPr>
        <w:t>。</w:t>
      </w:r>
    </w:p>
    <w:p w14:paraId="4AF7DD32">
      <w:pPr>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每个党员干部都要按照要求，自觉完成规定的学习任务，做到人人认真做笔记</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党支部要有学习情况记实</w:t>
      </w:r>
      <w:r>
        <w:rPr>
          <w:rFonts w:hint="eastAsia" w:asciiTheme="minorEastAsia" w:hAnsiTheme="minorEastAsia" w:eastAsiaTheme="minorEastAsia" w:cstheme="minorEastAsia"/>
          <w:b w:val="0"/>
          <w:bCs w:val="0"/>
          <w:color w:val="auto"/>
          <w:sz w:val="24"/>
          <w:szCs w:val="24"/>
          <w:lang w:eastAsia="zh-CN"/>
        </w:rPr>
        <w:t>。</w:t>
      </w:r>
    </w:p>
    <w:p w14:paraId="7C0B595E">
      <w:pPr>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支部要根据年初制定的学习计划组织学习，半年有总结，年末有全面总结</w:t>
      </w:r>
      <w:r>
        <w:rPr>
          <w:rFonts w:hint="eastAsia" w:asciiTheme="minorEastAsia" w:hAnsiTheme="minorEastAsia" w:eastAsiaTheme="minorEastAsia" w:cstheme="minorEastAsia"/>
          <w:b w:val="0"/>
          <w:bCs w:val="0"/>
          <w:color w:val="auto"/>
          <w:sz w:val="24"/>
          <w:szCs w:val="24"/>
          <w:lang w:eastAsia="zh-CN"/>
        </w:rPr>
        <w:t>。</w:t>
      </w:r>
    </w:p>
    <w:p w14:paraId="2EE5A13B">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支部对党员干部的学习情况采取定期或不定期的方式进行检查，并建立学习档案</w:t>
      </w:r>
      <w:r>
        <w:rPr>
          <w:rFonts w:hint="eastAsia" w:asciiTheme="minorEastAsia" w:hAnsiTheme="minorEastAsia" w:eastAsiaTheme="minorEastAsia" w:cstheme="minorEastAsia"/>
          <w:b w:val="0"/>
          <w:bCs w:val="0"/>
          <w:color w:val="auto"/>
          <w:sz w:val="24"/>
          <w:szCs w:val="24"/>
          <w:lang w:eastAsia="zh-CN"/>
        </w:rPr>
        <w:t>。</w:t>
      </w:r>
    </w:p>
    <w:p w14:paraId="20E17D9A">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支部对每个人的学习情况进行评定，并做为年终评先选优的依据。</w:t>
      </w:r>
    </w:p>
    <w:p w14:paraId="18705626">
      <w:pPr>
        <w:pageBreakBefore w:val="0"/>
        <w:kinsoku/>
        <w:wordWrap/>
        <w:overflowPunct/>
        <w:topLinePunct w:val="0"/>
        <w:autoSpaceDE/>
        <w:autoSpaceDN/>
        <w:bidi w:val="0"/>
        <w:adjustRightInd/>
        <w:spacing w:line="580" w:lineRule="exact"/>
        <w:ind w:left="0" w:firstLine="539"/>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第五条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p>
    <w:p w14:paraId="34B4E348">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5820B207">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2F998932">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79918F5F">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79FA0857">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118482A2">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42E77BBA">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6B102C6A">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77898606">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4C0AC409">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02DA4697">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583FB2B8">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6D9FA735">
      <w:pPr>
        <w:pageBreakBefore w:val="0"/>
        <w:widowControl/>
        <w:kinsoku/>
        <w:wordWrap/>
        <w:overflowPunct/>
        <w:topLinePunct w:val="0"/>
        <w:autoSpaceDE/>
        <w:autoSpaceDN/>
        <w:bidi w:val="0"/>
        <w:adjustRightInd/>
        <w:spacing w:before="96" w:line="580" w:lineRule="exact"/>
        <w:ind w:left="0" w:firstLine="1807" w:firstLineChars="500"/>
        <w:jc w:val="both"/>
        <w:textAlignment w:val="auto"/>
        <w:rPr>
          <w:rFonts w:hint="eastAsia" w:asciiTheme="minorEastAsia" w:hAnsiTheme="minorEastAsia" w:eastAsiaTheme="minorEastAsia" w:cstheme="minorEastAsia"/>
          <w:b/>
          <w:bCs/>
          <w:color w:val="auto"/>
          <w:kern w:val="0"/>
          <w:sz w:val="36"/>
          <w:szCs w:val="36"/>
          <w:shd w:val="clear" w:color="auto" w:fill="FFFFFF"/>
        </w:rPr>
      </w:pPr>
    </w:p>
    <w:p w14:paraId="50066CA4">
      <w:pPr>
        <w:rPr>
          <w:rFonts w:hint="eastAsia" w:asciiTheme="minorEastAsia" w:hAnsiTheme="minorEastAsia" w:eastAsiaTheme="minorEastAsia" w:cstheme="minorEastAsia"/>
          <w:b/>
          <w:bCs/>
          <w:color w:val="auto"/>
          <w:kern w:val="0"/>
          <w:sz w:val="36"/>
          <w:szCs w:val="36"/>
          <w:shd w:val="clear" w:color="auto" w:fill="FFFFFF"/>
        </w:rPr>
      </w:pPr>
      <w:r>
        <w:rPr>
          <w:rFonts w:hint="eastAsia" w:asciiTheme="minorEastAsia" w:hAnsiTheme="minorEastAsia" w:eastAsiaTheme="minorEastAsia" w:cstheme="minorEastAsia"/>
          <w:b/>
          <w:bCs/>
          <w:color w:val="auto"/>
          <w:kern w:val="0"/>
          <w:sz w:val="36"/>
          <w:szCs w:val="36"/>
          <w:shd w:val="clear" w:color="auto" w:fill="FFFFFF"/>
        </w:rPr>
        <w:br w:type="page"/>
      </w:r>
    </w:p>
    <w:p w14:paraId="39E8614B">
      <w:pPr>
        <w:pStyle w:val="3"/>
        <w:bidi w:val="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公文处理</w:t>
      </w:r>
      <w:r>
        <w:rPr>
          <w:rFonts w:hint="eastAsia" w:asciiTheme="minorEastAsia" w:hAnsiTheme="minorEastAsia" w:eastAsiaTheme="minorEastAsia" w:cstheme="minorEastAsia"/>
          <w:b/>
          <w:bCs/>
          <w:lang w:eastAsia="zh-CN"/>
        </w:rPr>
        <w:t>制度</w:t>
      </w:r>
    </w:p>
    <w:p w14:paraId="52A01FA2">
      <w:pPr>
        <w:pageBreakBefore w:val="0"/>
        <w:numPr>
          <w:ilvl w:val="0"/>
          <w:numId w:val="0"/>
        </w:numPr>
        <w:kinsoku/>
        <w:wordWrap/>
        <w:overflowPunct/>
        <w:topLinePunct w:val="0"/>
        <w:autoSpaceDE/>
        <w:autoSpaceDN/>
        <w:bidi w:val="0"/>
        <w:adjustRightIn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第一章</w:t>
      </w:r>
      <w:r>
        <w:rPr>
          <w:rFonts w:hint="eastAsia" w:asciiTheme="minorEastAsia" w:hAnsiTheme="minorEastAsia" w:eastAsiaTheme="minorEastAsia" w:cstheme="minorEastAsia"/>
          <w:b/>
          <w:bCs/>
          <w:color w:val="auto"/>
          <w:sz w:val="24"/>
          <w:szCs w:val="24"/>
          <w:lang w:val="en-US" w:eastAsia="zh-CN"/>
        </w:rPr>
        <w:t xml:space="preserve"> 总则</w:t>
      </w:r>
    </w:p>
    <w:p w14:paraId="76947A1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为</w:t>
      </w:r>
      <w:r>
        <w:rPr>
          <w:rFonts w:hint="eastAsia" w:asciiTheme="minorEastAsia" w:hAnsiTheme="minorEastAsia" w:eastAsiaTheme="minorEastAsia" w:cstheme="minorEastAsia"/>
          <w:b w:val="0"/>
          <w:bCs w:val="0"/>
          <w:color w:val="auto"/>
          <w:sz w:val="24"/>
          <w:szCs w:val="24"/>
          <w:lang w:eastAsia="zh-CN"/>
        </w:rPr>
        <w:t>进一步规范医保局</w:t>
      </w:r>
      <w:r>
        <w:rPr>
          <w:rFonts w:hint="eastAsia" w:asciiTheme="minorEastAsia" w:hAnsiTheme="minorEastAsia" w:eastAsiaTheme="minorEastAsia" w:cstheme="minorEastAsia"/>
          <w:b w:val="0"/>
          <w:bCs w:val="0"/>
          <w:color w:val="auto"/>
          <w:sz w:val="24"/>
          <w:szCs w:val="24"/>
        </w:rPr>
        <w:t>公文处理工作规范化、制度化、科学化，提高公文处理工作效率和质量，确保公文安全，根据《党政机关公文处理工作条例》《党政机关公文格式》（国标GB/T 9704-2012）及局工作规则，结合白城市医疗保障局工作实际，制定本</w:t>
      </w:r>
      <w:r>
        <w:rPr>
          <w:rFonts w:hint="eastAsia" w:asciiTheme="minorEastAsia" w:hAnsiTheme="minorEastAsia" w:eastAsiaTheme="minorEastAsia" w:cstheme="minorEastAsia"/>
          <w:b w:val="0"/>
          <w:bCs w:val="0"/>
          <w:color w:val="auto"/>
          <w:sz w:val="24"/>
          <w:szCs w:val="24"/>
          <w:lang w:val="en-US" w:eastAsia="zh-CN"/>
        </w:rPr>
        <w:t>制度</w:t>
      </w:r>
      <w:r>
        <w:rPr>
          <w:rFonts w:hint="eastAsia" w:asciiTheme="minorEastAsia" w:hAnsiTheme="minorEastAsia" w:eastAsiaTheme="minorEastAsia" w:cstheme="minorEastAsia"/>
          <w:b w:val="0"/>
          <w:bCs w:val="0"/>
          <w:color w:val="auto"/>
          <w:sz w:val="24"/>
          <w:szCs w:val="24"/>
        </w:rPr>
        <w:t>。</w:t>
      </w:r>
    </w:p>
    <w:p w14:paraId="6DFB5F8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第二条 </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公文，是</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履行职能、处理公务具有特定效力和规范体式的文书，是传达贯彻党和国家的方针政策及省</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决策部署，公布规范性文件，指导、布置和商洽工作，请示和答复问题，报告、通报和交流情况等的重要工具。</w:t>
      </w:r>
    </w:p>
    <w:p w14:paraId="678529D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第三条 公文处理工作是指公文拟制、办理、管理等一系列相互关联、衔接有序的工作。</w:t>
      </w:r>
    </w:p>
    <w:p w14:paraId="0980AB5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第四条 公文处理工作应当坚持实事求是、准确规范、精简高效、安全保密的原则。</w:t>
      </w:r>
    </w:p>
    <w:p w14:paraId="32CE8EA4">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第五条 领导应高度重视公文处理工作，模范遵守《党政机关公文处理工作条例》及本办法，全体干部职工要主动学习掌握公文处理知识，提高公文处理能力。</w:t>
      </w:r>
    </w:p>
    <w:p w14:paraId="24E65A6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107CB820">
      <w:pPr>
        <w:pageBreakBefore w:val="0"/>
        <w:kinsoku/>
        <w:wordWrap/>
        <w:overflowPunct/>
        <w:topLinePunct w:val="0"/>
        <w:autoSpaceDE/>
        <w:autoSpaceDN/>
        <w:bidi w:val="0"/>
        <w:adjustRightIn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第二章  公文种类</w:t>
      </w:r>
    </w:p>
    <w:p w14:paraId="11B7F47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第六条 按照公文内容和作用，</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常用公文种类有：</w:t>
      </w:r>
    </w:p>
    <w:p w14:paraId="7BF79B1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通知。适用于发布、传达要求有关单位办理和需要有关单位周知或者执行的事项，批转、转发公文</w:t>
      </w:r>
      <w:r>
        <w:rPr>
          <w:rFonts w:hint="eastAsia" w:asciiTheme="minorEastAsia" w:hAnsiTheme="minorEastAsia" w:eastAsiaTheme="minorEastAsia" w:cstheme="minorEastAsia"/>
          <w:b w:val="0"/>
          <w:bCs w:val="0"/>
          <w:color w:val="auto"/>
          <w:sz w:val="24"/>
          <w:szCs w:val="24"/>
          <w:lang w:eastAsia="zh-CN"/>
        </w:rPr>
        <w:t>。</w:t>
      </w:r>
    </w:p>
    <w:p w14:paraId="200285B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通报。适用于表彰先进、批评错误、传达重要精神和告知重要情况</w:t>
      </w:r>
      <w:r>
        <w:rPr>
          <w:rFonts w:hint="eastAsia" w:asciiTheme="minorEastAsia" w:hAnsiTheme="minorEastAsia" w:eastAsiaTheme="minorEastAsia" w:cstheme="minorEastAsia"/>
          <w:b w:val="0"/>
          <w:bCs w:val="0"/>
          <w:color w:val="auto"/>
          <w:sz w:val="24"/>
          <w:szCs w:val="24"/>
          <w:lang w:eastAsia="zh-CN"/>
        </w:rPr>
        <w:t>。</w:t>
      </w:r>
    </w:p>
    <w:p w14:paraId="6815F54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报告。适用于向上级机关汇报工作、反映情况，回复上级机关的询问</w:t>
      </w:r>
      <w:r>
        <w:rPr>
          <w:rFonts w:hint="eastAsia" w:asciiTheme="minorEastAsia" w:hAnsiTheme="minorEastAsia" w:eastAsiaTheme="minorEastAsia" w:cstheme="minorEastAsia"/>
          <w:b w:val="0"/>
          <w:bCs w:val="0"/>
          <w:color w:val="auto"/>
          <w:sz w:val="24"/>
          <w:szCs w:val="24"/>
          <w:lang w:eastAsia="zh-CN"/>
        </w:rPr>
        <w:t>。</w:t>
      </w:r>
    </w:p>
    <w:p w14:paraId="6770A22A">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请示。适用于向上级机关请求指示、批准</w:t>
      </w:r>
      <w:r>
        <w:rPr>
          <w:rFonts w:hint="eastAsia" w:asciiTheme="minorEastAsia" w:hAnsiTheme="minorEastAsia" w:eastAsiaTheme="minorEastAsia" w:cstheme="minorEastAsia"/>
          <w:b w:val="0"/>
          <w:bCs w:val="0"/>
          <w:color w:val="auto"/>
          <w:sz w:val="24"/>
          <w:szCs w:val="24"/>
          <w:lang w:eastAsia="zh-CN"/>
        </w:rPr>
        <w:t>。</w:t>
      </w:r>
    </w:p>
    <w:p w14:paraId="27814F00">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批复。适用于答复下级机关请示事项</w:t>
      </w:r>
      <w:r>
        <w:rPr>
          <w:rFonts w:hint="eastAsia" w:asciiTheme="minorEastAsia" w:hAnsiTheme="minorEastAsia" w:eastAsiaTheme="minorEastAsia" w:cstheme="minorEastAsia"/>
          <w:b w:val="0"/>
          <w:bCs w:val="0"/>
          <w:color w:val="auto"/>
          <w:sz w:val="24"/>
          <w:szCs w:val="24"/>
          <w:lang w:eastAsia="zh-CN"/>
        </w:rPr>
        <w:t>。</w:t>
      </w:r>
    </w:p>
    <w:p w14:paraId="7B73700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意见。适用于对重要问题提出见解和处理办法</w:t>
      </w:r>
      <w:r>
        <w:rPr>
          <w:rFonts w:hint="eastAsia" w:asciiTheme="minorEastAsia" w:hAnsiTheme="minorEastAsia" w:eastAsiaTheme="minorEastAsia" w:cstheme="minorEastAsia"/>
          <w:b w:val="0"/>
          <w:bCs w:val="0"/>
          <w:color w:val="auto"/>
          <w:sz w:val="24"/>
          <w:szCs w:val="24"/>
          <w:lang w:eastAsia="zh-CN"/>
        </w:rPr>
        <w:t>。</w:t>
      </w:r>
    </w:p>
    <w:p w14:paraId="7159891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函。适用于不相隶属机关之间商洽工作、询问和答复问题、请求批准和答复审批事项</w:t>
      </w:r>
      <w:r>
        <w:rPr>
          <w:rFonts w:hint="eastAsia" w:asciiTheme="minorEastAsia" w:hAnsiTheme="minorEastAsia" w:eastAsiaTheme="minorEastAsia" w:cstheme="minorEastAsia"/>
          <w:b w:val="0"/>
          <w:bCs w:val="0"/>
          <w:color w:val="auto"/>
          <w:sz w:val="24"/>
          <w:szCs w:val="24"/>
          <w:lang w:eastAsia="zh-CN"/>
        </w:rPr>
        <w:t>。</w:t>
      </w:r>
    </w:p>
    <w:p w14:paraId="0465E44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会议纪要。适用于记载会议主要情况和议定事项。</w:t>
      </w:r>
    </w:p>
    <w:p w14:paraId="06F1C6E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68F986DE">
      <w:pPr>
        <w:pageBreakBefore w:val="0"/>
        <w:kinsoku/>
        <w:wordWrap/>
        <w:overflowPunct/>
        <w:topLinePunct w:val="0"/>
        <w:autoSpaceDE/>
        <w:autoSpaceDN/>
        <w:bidi w:val="0"/>
        <w:adjustRightIn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第三章  公文格式</w:t>
      </w:r>
    </w:p>
    <w:p w14:paraId="107CEE9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第七条 公文一般由份号、密级和保密期限、紧急程度、发文机关标志、发文字号、签发人、标题、主送机关、正文、附件说明、发文机关署名、成文日期、印章、附注、附件、抄送机关、印发部门名称和印发日期、页码等组成。</w:t>
      </w:r>
    </w:p>
    <w:p w14:paraId="2192BE9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份号。公文印制份数的顺序号。涉密公文应当标注份号。</w:t>
      </w:r>
    </w:p>
    <w:p w14:paraId="2AB77A4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密级和保密期限。公文的秘密等级和保密的期限。涉密公文应当根据涉密程度分别标注“绝密”“机密”“秘密”和保密期限。</w:t>
      </w:r>
    </w:p>
    <w:p w14:paraId="30DEF51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紧急程度。公文送达和办理的时限要求。根据紧急程度，紧急公文应当分别标注“特急”“加急”，电报应当分别标注“特提”“特急”“加急”“平急”。</w:t>
      </w:r>
    </w:p>
    <w:p w14:paraId="6DB9D3C9">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发文机关标志。</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发文机关标志为：</w:t>
      </w:r>
    </w:p>
    <w:p w14:paraId="44699B0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）白城市</w:t>
      </w:r>
      <w:r>
        <w:rPr>
          <w:rFonts w:hint="eastAsia" w:asciiTheme="minorEastAsia" w:hAnsiTheme="minorEastAsia" w:eastAsiaTheme="minorEastAsia" w:cstheme="minorEastAsia"/>
          <w:b w:val="0"/>
          <w:bCs w:val="0"/>
          <w:color w:val="auto"/>
          <w:sz w:val="24"/>
          <w:szCs w:val="24"/>
        </w:rPr>
        <w:t>医疗保障局文件</w:t>
      </w:r>
      <w:r>
        <w:rPr>
          <w:rFonts w:hint="eastAsia" w:asciiTheme="minorEastAsia" w:hAnsiTheme="minorEastAsia" w:eastAsiaTheme="minorEastAsia" w:cstheme="minorEastAsia"/>
          <w:b w:val="0"/>
          <w:bCs w:val="0"/>
          <w:color w:val="auto"/>
          <w:sz w:val="24"/>
          <w:szCs w:val="24"/>
          <w:lang w:eastAsia="zh-CN"/>
        </w:rPr>
        <w:t>。</w:t>
      </w:r>
    </w:p>
    <w:p w14:paraId="7E9E833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中共</w:t>
      </w:r>
      <w:r>
        <w:rPr>
          <w:rFonts w:hint="eastAsia" w:asciiTheme="minorEastAsia" w:hAnsiTheme="minorEastAsia" w:eastAsiaTheme="minorEastAsia" w:cstheme="minorEastAsia"/>
          <w:b w:val="0"/>
          <w:bCs w:val="0"/>
          <w:color w:val="auto"/>
          <w:sz w:val="24"/>
          <w:szCs w:val="24"/>
          <w:lang w:eastAsia="zh-CN"/>
        </w:rPr>
        <w:t>白城市</w:t>
      </w:r>
      <w:r>
        <w:rPr>
          <w:rFonts w:hint="eastAsia" w:asciiTheme="minorEastAsia" w:hAnsiTheme="minorEastAsia" w:eastAsiaTheme="minorEastAsia" w:cstheme="minorEastAsia"/>
          <w:b w:val="0"/>
          <w:bCs w:val="0"/>
          <w:color w:val="auto"/>
          <w:sz w:val="24"/>
          <w:szCs w:val="24"/>
        </w:rPr>
        <w:t>医疗保障局党组文件(用于党内行文)；</w:t>
      </w:r>
    </w:p>
    <w:p w14:paraId="30BB372B">
      <w:pPr>
        <w:pageBreakBefore w:val="0"/>
        <w:kinsoku/>
        <w:wordWrap/>
        <w:overflowPunct/>
        <w:topLinePunct w:val="0"/>
        <w:autoSpaceDE/>
        <w:autoSpaceDN/>
        <w:bidi w:val="0"/>
        <w:adjustRightIn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联合行文时，发文机关标志可以并用联合发文机关名称，也可以单独用主办机关名称。需要同时标注联合发文机关名称的，一般应使主办机关名称在前。</w:t>
      </w:r>
    </w:p>
    <w:p w14:paraId="5413A07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发文字号。由发文机关代字、年份、发文顺序号组成。</w:t>
      </w:r>
    </w:p>
    <w:p w14:paraId="70013C3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发文代字主要有：</w:t>
      </w:r>
    </w:p>
    <w:p w14:paraId="3022AC1E">
      <w:pPr>
        <w:pageBreakBefore w:val="0"/>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）白</w:t>
      </w:r>
      <w:r>
        <w:rPr>
          <w:rFonts w:hint="eastAsia" w:asciiTheme="minorEastAsia" w:hAnsiTheme="minorEastAsia" w:eastAsiaTheme="minorEastAsia" w:cstheme="minorEastAsia"/>
          <w:b w:val="0"/>
          <w:bCs w:val="0"/>
          <w:color w:val="auto"/>
          <w:sz w:val="24"/>
          <w:szCs w:val="24"/>
        </w:rPr>
        <w:t>医保党组：用于以</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医疗保障局党组名义发文；</w:t>
      </w:r>
    </w:p>
    <w:p w14:paraId="01DE8CF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）白</w:t>
      </w:r>
      <w:r>
        <w:rPr>
          <w:rFonts w:hint="eastAsia" w:asciiTheme="minorEastAsia" w:hAnsiTheme="minorEastAsia" w:eastAsiaTheme="minorEastAsia" w:cstheme="minorEastAsia"/>
          <w:b w:val="0"/>
          <w:bCs w:val="0"/>
          <w:color w:val="auto"/>
          <w:sz w:val="24"/>
          <w:szCs w:val="24"/>
        </w:rPr>
        <w:t>医保发：用于以</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医疗保障局名义印发的下行文</w:t>
      </w:r>
      <w:r>
        <w:rPr>
          <w:rFonts w:hint="eastAsia" w:asciiTheme="minorEastAsia" w:hAnsiTheme="minorEastAsia" w:eastAsiaTheme="minorEastAsia" w:cstheme="minorEastAsia"/>
          <w:b w:val="0"/>
          <w:bCs w:val="0"/>
          <w:color w:val="auto"/>
          <w:sz w:val="24"/>
          <w:szCs w:val="24"/>
          <w:lang w:eastAsia="zh-CN"/>
        </w:rPr>
        <w:t>。</w:t>
      </w:r>
    </w:p>
    <w:p w14:paraId="526C178F">
      <w:pPr>
        <w:pageBreakBefore w:val="0"/>
        <w:kinsoku/>
        <w:wordWrap/>
        <w:overflowPunct/>
        <w:topLinePunct w:val="0"/>
        <w:autoSpaceDE/>
        <w:autoSpaceDN/>
        <w:bidi w:val="0"/>
        <w:adjustRightInd/>
        <w:spacing w:line="580" w:lineRule="exact"/>
        <w:ind w:left="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）白</w:t>
      </w:r>
      <w:r>
        <w:rPr>
          <w:rFonts w:hint="eastAsia" w:asciiTheme="minorEastAsia" w:hAnsiTheme="minorEastAsia" w:eastAsiaTheme="minorEastAsia" w:cstheme="minorEastAsia"/>
          <w:b w:val="0"/>
          <w:bCs w:val="0"/>
          <w:color w:val="auto"/>
          <w:sz w:val="24"/>
          <w:szCs w:val="24"/>
        </w:rPr>
        <w:t>医保函：用于以</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医疗保障局名义印发的平行文</w:t>
      </w:r>
      <w:r>
        <w:rPr>
          <w:rFonts w:hint="eastAsia" w:asciiTheme="minorEastAsia" w:hAnsiTheme="minorEastAsia" w:eastAsiaTheme="minorEastAsia" w:cstheme="minorEastAsia"/>
          <w:b w:val="0"/>
          <w:bCs w:val="0"/>
          <w:color w:val="auto"/>
          <w:sz w:val="24"/>
          <w:szCs w:val="24"/>
          <w:lang w:eastAsia="zh-CN"/>
        </w:rPr>
        <w:t>。</w:t>
      </w:r>
    </w:p>
    <w:p w14:paraId="38416DA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eastAsia="zh-CN"/>
        </w:rPr>
        <w:t>）白</w:t>
      </w:r>
      <w:r>
        <w:rPr>
          <w:rFonts w:hint="eastAsia" w:asciiTheme="minorEastAsia" w:hAnsiTheme="minorEastAsia" w:eastAsiaTheme="minorEastAsia" w:cstheme="minorEastAsia"/>
          <w:b w:val="0"/>
          <w:bCs w:val="0"/>
          <w:color w:val="auto"/>
          <w:sz w:val="24"/>
          <w:szCs w:val="24"/>
        </w:rPr>
        <w:t>医保联：用于以省医疗保障局为主办部门的联合发文</w:t>
      </w:r>
      <w:r>
        <w:rPr>
          <w:rFonts w:hint="eastAsia" w:asciiTheme="minorEastAsia" w:hAnsiTheme="minorEastAsia" w:eastAsiaTheme="minorEastAsia" w:cstheme="minorEastAsia"/>
          <w:b w:val="0"/>
          <w:bCs w:val="0"/>
          <w:color w:val="auto"/>
          <w:sz w:val="24"/>
          <w:szCs w:val="24"/>
          <w:lang w:eastAsia="zh-CN"/>
        </w:rPr>
        <w:t>。</w:t>
      </w:r>
    </w:p>
    <w:p w14:paraId="67ED198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eastAsia="zh-CN"/>
        </w:rPr>
        <w:t>）白</w:t>
      </w:r>
      <w:r>
        <w:rPr>
          <w:rFonts w:hint="eastAsia" w:asciiTheme="minorEastAsia" w:hAnsiTheme="minorEastAsia" w:eastAsiaTheme="minorEastAsia" w:cstheme="minorEastAsia"/>
          <w:b w:val="0"/>
          <w:bCs w:val="0"/>
          <w:color w:val="auto"/>
          <w:sz w:val="24"/>
          <w:szCs w:val="24"/>
        </w:rPr>
        <w:t>医保</w:t>
      </w:r>
      <w:r>
        <w:rPr>
          <w:rFonts w:hint="eastAsia" w:asciiTheme="minorEastAsia" w:hAnsiTheme="minorEastAsia" w:eastAsiaTheme="minorEastAsia" w:cstheme="minorEastAsia"/>
          <w:b w:val="0"/>
          <w:bCs w:val="0"/>
          <w:color w:val="auto"/>
          <w:sz w:val="24"/>
          <w:szCs w:val="24"/>
          <w:lang w:eastAsia="zh-CN"/>
        </w:rPr>
        <w:t>请</w:t>
      </w:r>
      <w:r>
        <w:rPr>
          <w:rFonts w:hint="eastAsia" w:asciiTheme="minorEastAsia" w:hAnsiTheme="minorEastAsia" w:eastAsiaTheme="minorEastAsia" w:cstheme="minorEastAsia"/>
          <w:b w:val="0"/>
          <w:bCs w:val="0"/>
          <w:color w:val="auto"/>
          <w:sz w:val="24"/>
          <w:szCs w:val="24"/>
        </w:rPr>
        <w:t>：用于以</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医疗保障局名义印发</w:t>
      </w:r>
      <w:r>
        <w:rPr>
          <w:rFonts w:hint="eastAsia" w:asciiTheme="minorEastAsia" w:hAnsiTheme="minorEastAsia" w:eastAsiaTheme="minorEastAsia" w:cstheme="minorEastAsia"/>
          <w:b w:val="0"/>
          <w:bCs w:val="0"/>
          <w:color w:val="auto"/>
          <w:sz w:val="24"/>
          <w:szCs w:val="24"/>
          <w:lang w:eastAsia="zh-CN"/>
        </w:rPr>
        <w:t>有关请示发文。</w:t>
      </w:r>
    </w:p>
    <w:p w14:paraId="0046555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非正式公文可使用</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便函或红头发文纸且不编文号，用于联系工作，征求或反馈意见。</w:t>
      </w:r>
    </w:p>
    <w:p w14:paraId="2195DD9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u w:val="single"/>
        </w:rPr>
      </w:pPr>
      <w:r>
        <w:rPr>
          <w:rFonts w:hint="eastAsia" w:asciiTheme="minorEastAsia" w:hAnsiTheme="minorEastAsia" w:eastAsiaTheme="minorEastAsia" w:cstheme="minorEastAsia"/>
          <w:b w:val="0"/>
          <w:bCs w:val="0"/>
          <w:color w:val="auto"/>
          <w:sz w:val="24"/>
          <w:szCs w:val="24"/>
        </w:rPr>
        <w:t>发文字号中，年份、发文顺序号用阿拉伯数字标注；年份应标全称，用六角括号“〔〕”括入；每种发文机关代字单独按顺序排号；发文顺序号不加“第”字，不编虚位（即1不编为01），在阿拉伯数字后加“号”字。上行文的发文字号居左空一字编排，与最后一个签发人姓名处在同一行。联合行文时，使用主办机关的发文字号。非常设机构根据需要另编文号。</w:t>
      </w:r>
    </w:p>
    <w:p w14:paraId="6607285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签发人。上行文应当标注签发人姓名。</w:t>
      </w:r>
    </w:p>
    <w:p w14:paraId="05AE8CE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标题。由发文机关、发文事由和文种组成，应当准确简要地概括公文的主要内容并标明公文种类。公文标题中除法律、法规、规章和规范性文件名称加书名号外，一般不用标点符号。</w:t>
      </w:r>
    </w:p>
    <w:p w14:paraId="308AB80A">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转发公文，标题一般为：本机关名称+转发+被转发文件的标题+的通知；多层转发的，根据主要事由自拟标题，但标题中应含“转发”字样；不得以被转发文件的发文字号作为标题。标题一般用小标宋。</w:t>
      </w:r>
    </w:p>
    <w:p w14:paraId="428D5B59">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主送机关。公文的主要受理机关，应当使用机关全称、规范化简称或者同类型机关统称。应根据工作需要和公文内容准确确定主送机关，不随意扩大或缩小主送范围。</w:t>
      </w:r>
    </w:p>
    <w:p w14:paraId="195C858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正文。公文的主体，用来表述公文的内容。公文首页必须显示正文。一般用3号仿宋体字，编排于主送机关名称下一行，每个自然段左空二字，回行顶格。文中结构层次序数依次可以用“一、”“（一）”“1.”“（1）”标注；一般第一层用黑体字、第二层用楷体字(楷体_GB2312)三号、第三层用仿宋体字(仿宋_GB2312)三号加粗、第四层用仿宋体字(仿宋_GB2312)。</w:t>
      </w:r>
    </w:p>
    <w:p w14:paraId="0F25A25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附件说明。公文附件的顺序号和名称。印发或转发文件时，不应将所印发或转发的公文列为附件。</w:t>
      </w:r>
    </w:p>
    <w:p w14:paraId="36AC596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11.</w:t>
      </w:r>
      <w:r>
        <w:rPr>
          <w:rFonts w:hint="eastAsia" w:asciiTheme="minorEastAsia" w:hAnsiTheme="minorEastAsia" w:eastAsiaTheme="minorEastAsia" w:cstheme="minorEastAsia"/>
          <w:b w:val="0"/>
          <w:bCs w:val="0"/>
          <w:color w:val="auto"/>
          <w:sz w:val="24"/>
          <w:szCs w:val="24"/>
        </w:rPr>
        <w:t>发文机关署名。署发文机关全称或者规范化简称。</w:t>
      </w:r>
    </w:p>
    <w:p w14:paraId="4C4B1FF1">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成文日期。署会议通过或者发文机关负责人签发日期。联合行文时，署最后签发机关负责人的签发日期。成文日期一般右空四字编排于发文机关署名之下，用阿拉伯数字将年、月、日标全，年份应标全称，月、日不编虚位（即1不编为01）。</w:t>
      </w:r>
    </w:p>
    <w:p w14:paraId="3CAD229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13.</w:t>
      </w:r>
      <w:r>
        <w:rPr>
          <w:rFonts w:hint="eastAsia" w:asciiTheme="minorEastAsia" w:hAnsiTheme="minorEastAsia" w:eastAsiaTheme="minorEastAsia" w:cstheme="minorEastAsia"/>
          <w:b w:val="0"/>
          <w:bCs w:val="0"/>
          <w:color w:val="auto"/>
          <w:sz w:val="24"/>
          <w:szCs w:val="24"/>
        </w:rPr>
        <w:t>印章。公文中有发文机关署名的，应当加盖发文机关印章，并与署名机关相符。印章用红色，不得出现空白印章。</w:t>
      </w:r>
    </w:p>
    <w:p w14:paraId="114E3B27">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14.</w:t>
      </w:r>
      <w:r>
        <w:rPr>
          <w:rFonts w:hint="eastAsia" w:asciiTheme="minorEastAsia" w:hAnsiTheme="minorEastAsia" w:eastAsiaTheme="minorEastAsia" w:cstheme="minorEastAsia"/>
          <w:b w:val="0"/>
          <w:bCs w:val="0"/>
          <w:color w:val="auto"/>
          <w:sz w:val="24"/>
          <w:szCs w:val="24"/>
        </w:rPr>
        <w:t>附注。公文印发传达范围等需要说明的事项。居左空二字加圆括号编排在成文日期下一行。附注内容各条之间用逗号分隔。“请示”应当在附注处注明联系人的姓名和电话。规范性文件应按规定标准在附注处标注公开方式。</w:t>
      </w:r>
    </w:p>
    <w:p w14:paraId="5417F2D0">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15.</w:t>
      </w:r>
      <w:r>
        <w:rPr>
          <w:rFonts w:hint="eastAsia" w:asciiTheme="minorEastAsia" w:hAnsiTheme="minorEastAsia" w:eastAsiaTheme="minorEastAsia" w:cstheme="minorEastAsia"/>
          <w:b w:val="0"/>
          <w:bCs w:val="0"/>
          <w:color w:val="auto"/>
          <w:sz w:val="24"/>
          <w:szCs w:val="24"/>
        </w:rPr>
        <w:t>附件。公文正文的说明、补充或者参考资料。如有附件，在正文下空一行左空二字编排“附件”二字，后标全角冒号和附件名称。如有多个附件，使用阿拉伯数字标注附件顺序号（如“附件：1.XXXXX”）；附件名称后不加标点符号。附件名称较长需回行时，应当与上一行附件名称的首字对齐。附件应另面编排，并在版记之前，与公文正文一起装订。附件与正文不能一起装订的，应在附件左上角第一行顶格编排公文的发文字号并在其后标注“附件”二字及附件顺序号。</w:t>
      </w:r>
    </w:p>
    <w:p w14:paraId="0B20C1A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16.</w:t>
      </w:r>
      <w:r>
        <w:rPr>
          <w:rFonts w:hint="eastAsia" w:asciiTheme="minorEastAsia" w:hAnsiTheme="minorEastAsia" w:eastAsiaTheme="minorEastAsia" w:cstheme="minorEastAsia"/>
          <w:b w:val="0"/>
          <w:bCs w:val="0"/>
          <w:color w:val="auto"/>
          <w:sz w:val="24"/>
          <w:szCs w:val="24"/>
        </w:rPr>
        <w:t>抄送机关。除主送机关外需要执行或者知晓公文内容的其他机关,应当使用全称、规范化简称或者同类型机关统称。</w:t>
      </w:r>
    </w:p>
    <w:p w14:paraId="4731D537">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抄送机关按上级机关、平级机关、下级机关次序排列。</w:t>
      </w:r>
    </w:p>
    <w:p w14:paraId="3AA0D0C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抄送机关编排在公文最后一页的下方位置。一般用4号仿宋体字，在印发部门和印发日期之上一行、左右各空一字编排。最后一个抄送机关名称后标句号。</w:t>
      </w:r>
    </w:p>
    <w:p w14:paraId="0A5E8EA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17.</w:t>
      </w:r>
      <w:r>
        <w:rPr>
          <w:rFonts w:hint="eastAsia" w:asciiTheme="minorEastAsia" w:hAnsiTheme="minorEastAsia" w:eastAsiaTheme="minorEastAsia" w:cstheme="minorEastAsia"/>
          <w:b w:val="0"/>
          <w:bCs w:val="0"/>
          <w:color w:val="auto"/>
          <w:sz w:val="24"/>
          <w:szCs w:val="24"/>
        </w:rPr>
        <w:t>印发部门和印发日期。公文的送印机关和送印日期。印发机关左空一字，印发日期右空一字。</w:t>
      </w:r>
    </w:p>
    <w:p w14:paraId="22EC603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18.</w:t>
      </w:r>
      <w:r>
        <w:rPr>
          <w:rFonts w:hint="eastAsia" w:asciiTheme="minorEastAsia" w:hAnsiTheme="minorEastAsia" w:eastAsiaTheme="minorEastAsia" w:cstheme="minorEastAsia"/>
          <w:b w:val="0"/>
          <w:bCs w:val="0"/>
          <w:color w:val="auto"/>
          <w:sz w:val="24"/>
          <w:szCs w:val="24"/>
        </w:rPr>
        <w:t>页码。公文页数顺序号。公文的版记页前有空白页的，空白页和版记页均不编排页码。公文的附件与正文一起装订时，页码应当连续编排。</w:t>
      </w:r>
    </w:p>
    <w:p w14:paraId="0CE244D0">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第八条 公文的版式按照《党政机关公文格式》标准执行。</w:t>
      </w:r>
    </w:p>
    <w:p w14:paraId="15973BC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第九条 公文使用的汉字、数字、外文字符、计量单位和标点符号等，按照有关国家标准和规定执行。</w:t>
      </w:r>
    </w:p>
    <w:p w14:paraId="39B7FC74">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第十条 公文用纸幅面采用国际标准A4型。特殊形式的公文用纸幅面，根据实际需要确定。</w:t>
      </w:r>
    </w:p>
    <w:p w14:paraId="4FEC256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0392BB4F">
      <w:pPr>
        <w:pageBreakBefore w:val="0"/>
        <w:kinsoku/>
        <w:wordWrap/>
        <w:overflowPunct/>
        <w:topLinePunct w:val="0"/>
        <w:autoSpaceDE/>
        <w:autoSpaceDN/>
        <w:bidi w:val="0"/>
        <w:adjustRightIn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第四章  行文规则</w:t>
      </w:r>
    </w:p>
    <w:p w14:paraId="73806E4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第十一条 行文应当确有必要，讲求实效，注重针对性和可操作性。法律、法规和规范性文件中已有明确规定的，不再制发文件；现行文件规定仍然适用的，不再重复发文；已标注公开发布的文件，不再翻印；对使用电话、内部网站等途径可以办理的事项，不发正式公文。</w:t>
      </w:r>
    </w:p>
    <w:p w14:paraId="3A49524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第十二条 行文关系根据隶属关系和职权范围确定，按照工作需要，在职权范围内行文。一般不得越级行文和请示问题。涉及其他单位（部门）职权范围的，应当会签相关单位（部门）或者联合行文。</w:t>
      </w:r>
    </w:p>
    <w:p w14:paraId="76E450E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第十三条 向上级机关行文，应当遵循以下规则：</w:t>
      </w:r>
    </w:p>
    <w:p w14:paraId="717A913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原则上主送一个上级机关，根据需要同时抄送相关上级机关和同级机关，不抄送下级机关</w:t>
      </w:r>
      <w:r>
        <w:rPr>
          <w:rFonts w:hint="eastAsia" w:asciiTheme="minorEastAsia" w:hAnsiTheme="minorEastAsia" w:eastAsiaTheme="minorEastAsia" w:cstheme="minorEastAsia"/>
          <w:b w:val="0"/>
          <w:bCs w:val="0"/>
          <w:color w:val="auto"/>
          <w:sz w:val="24"/>
          <w:szCs w:val="24"/>
          <w:lang w:eastAsia="zh-CN"/>
        </w:rPr>
        <w:t>。</w:t>
      </w:r>
    </w:p>
    <w:p w14:paraId="1D99847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下级机关的请示事项，如需以局名义向上级部门请示，应当提出倾向性意见后上报，不得原文转报上级部门</w:t>
      </w:r>
      <w:r>
        <w:rPr>
          <w:rFonts w:hint="eastAsia" w:asciiTheme="minorEastAsia" w:hAnsiTheme="minorEastAsia" w:eastAsiaTheme="minorEastAsia" w:cstheme="minorEastAsia"/>
          <w:b w:val="0"/>
          <w:bCs w:val="0"/>
          <w:color w:val="auto"/>
          <w:sz w:val="24"/>
          <w:szCs w:val="24"/>
          <w:lang w:eastAsia="zh-CN"/>
        </w:rPr>
        <w:t>。</w:t>
      </w:r>
    </w:p>
    <w:p w14:paraId="217EB80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请示应当一文一事。不得在报告等非请示性公文中夹带请示事项</w:t>
      </w:r>
      <w:r>
        <w:rPr>
          <w:rFonts w:hint="eastAsia" w:asciiTheme="minorEastAsia" w:hAnsiTheme="minorEastAsia" w:eastAsiaTheme="minorEastAsia" w:cstheme="minorEastAsia"/>
          <w:b w:val="0"/>
          <w:bCs w:val="0"/>
          <w:color w:val="auto"/>
          <w:sz w:val="24"/>
          <w:szCs w:val="24"/>
          <w:lang w:eastAsia="zh-CN"/>
        </w:rPr>
        <w:t>。</w:t>
      </w:r>
    </w:p>
    <w:p w14:paraId="0BBD4EB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除上级机关负责人直接交办事项外，不得以局名义向上级机关负责人报送公文，不得以局负责人名义向上级机关报送公文。</w:t>
      </w:r>
    </w:p>
    <w:p w14:paraId="7A137051">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第十四条 向下级机关行文，应当遵循以下规则：</w:t>
      </w:r>
    </w:p>
    <w:p w14:paraId="16C9086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主送受理机关，根据需要抄送相关机关。重要行文应当同时抄送发文机关的直接上级机关</w:t>
      </w:r>
      <w:r>
        <w:rPr>
          <w:rFonts w:hint="eastAsia" w:asciiTheme="minorEastAsia" w:hAnsiTheme="minorEastAsia" w:eastAsiaTheme="minorEastAsia" w:cstheme="minorEastAsia"/>
          <w:b w:val="0"/>
          <w:bCs w:val="0"/>
          <w:color w:val="auto"/>
          <w:sz w:val="24"/>
          <w:szCs w:val="24"/>
          <w:lang w:eastAsia="zh-CN"/>
        </w:rPr>
        <w:t>。</w:t>
      </w:r>
    </w:p>
    <w:p w14:paraId="7A2DB2C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在职权范围内可以向下级部门行文</w:t>
      </w:r>
      <w:r>
        <w:rPr>
          <w:rFonts w:hint="eastAsia" w:asciiTheme="minorEastAsia" w:hAnsiTheme="minorEastAsia" w:eastAsiaTheme="minorEastAsia" w:cstheme="minorEastAsia"/>
          <w:b w:val="0"/>
          <w:bCs w:val="0"/>
          <w:color w:val="auto"/>
          <w:sz w:val="24"/>
          <w:szCs w:val="24"/>
          <w:lang w:eastAsia="zh-CN"/>
        </w:rPr>
        <w:t>。</w:t>
      </w:r>
    </w:p>
    <w:p w14:paraId="3B2169D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不得向下级党委、政府等机关发布指令性公文或者在公文中提出指令性要求</w:t>
      </w:r>
      <w:r>
        <w:rPr>
          <w:rFonts w:hint="eastAsia" w:asciiTheme="minorEastAsia" w:hAnsiTheme="minorEastAsia" w:eastAsiaTheme="minorEastAsia" w:cstheme="minorEastAsia"/>
          <w:b w:val="0"/>
          <w:bCs w:val="0"/>
          <w:color w:val="auto"/>
          <w:sz w:val="24"/>
          <w:szCs w:val="24"/>
          <w:lang w:eastAsia="zh-CN"/>
        </w:rPr>
        <w:t>。</w:t>
      </w:r>
    </w:p>
    <w:p w14:paraId="26DC7657">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涉及多个</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室（单位）职权范围内的事务，部门之间未协商一致的，不得向下行文。擅自行文的，局有权责令其纠正或撤销</w:t>
      </w:r>
      <w:r>
        <w:rPr>
          <w:rFonts w:hint="eastAsia" w:asciiTheme="minorEastAsia" w:hAnsiTheme="minorEastAsia" w:eastAsiaTheme="minorEastAsia" w:cstheme="minorEastAsia"/>
          <w:b w:val="0"/>
          <w:bCs w:val="0"/>
          <w:color w:val="auto"/>
          <w:sz w:val="24"/>
          <w:szCs w:val="24"/>
          <w:lang w:eastAsia="zh-CN"/>
        </w:rPr>
        <w:t>。</w:t>
      </w:r>
    </w:p>
    <w:p w14:paraId="4E5B24E8">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上级机关向受双重领导的下级机关行文，必要时抄送该下级机关的另一个上级机关。</w:t>
      </w:r>
    </w:p>
    <w:p w14:paraId="3A3CF189">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第十五条 在职权范围内与同级相关部门可以相互行文，必要时可以联合行文。</w:t>
      </w:r>
    </w:p>
    <w:p w14:paraId="3030A08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第十六条 除办公室外，各</w:t>
      </w:r>
      <w:r>
        <w:rPr>
          <w:rFonts w:hint="eastAsia" w:asciiTheme="minorEastAsia" w:hAnsiTheme="minorEastAsia" w:eastAsiaTheme="minorEastAsia" w:cstheme="minorEastAsia"/>
          <w:b w:val="0"/>
          <w:bCs w:val="0"/>
          <w:color w:val="auto"/>
          <w:sz w:val="24"/>
          <w:szCs w:val="24"/>
          <w:lang w:eastAsia="zh-CN"/>
        </w:rPr>
        <w:t>科室</w:t>
      </w:r>
      <w:r>
        <w:rPr>
          <w:rFonts w:hint="eastAsia" w:asciiTheme="minorEastAsia" w:hAnsiTheme="minorEastAsia" w:eastAsiaTheme="minorEastAsia" w:cstheme="minorEastAsia"/>
          <w:b w:val="0"/>
          <w:bCs w:val="0"/>
          <w:color w:val="auto"/>
          <w:sz w:val="24"/>
          <w:szCs w:val="24"/>
        </w:rPr>
        <w:t>不得以处名义对外正式行文。各</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不得擅自对外签署任何协议书、意向书等。未经局领导同意，各</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不得要求下级单位向局报送上行文。</w:t>
      </w:r>
    </w:p>
    <w:p w14:paraId="77744C89">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第十七条 各地报送请示、报告，应主送“</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rPr>
        <w:t>医疗保障局”，由办公室协调处理，一般不直接报送局领导个人或各处（单位）。对局领导直接交办的事项，可直接将相关情况报送局领导。确需向局领导个人报送公文时，一般不得多头分送；确需分送的，应在首页注明分送情况。</w:t>
      </w:r>
    </w:p>
    <w:p w14:paraId="7F08EA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0BDC10ED">
      <w:pPr>
        <w:pageBreakBefore w:val="0"/>
        <w:kinsoku/>
        <w:wordWrap/>
        <w:overflowPunct/>
        <w:topLinePunct w:val="0"/>
        <w:autoSpaceDE/>
        <w:autoSpaceDN/>
        <w:bidi w:val="0"/>
        <w:adjustRightIn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第五章  收文办理</w:t>
      </w:r>
    </w:p>
    <w:p w14:paraId="6D029BD4">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第十八条 办公室负责全局的收文办理。收文办理指对收到公文的处理过程，收文办理包括签收、登记、初审、拟办、批办、承办、传阅、催办、答复等主要程序。</w:t>
      </w:r>
    </w:p>
    <w:p w14:paraId="51822FE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签收。对收到的公文应当对照清单逐件清点，核对无误后在对方投递单或送文簿上签字或者盖章以示收到，并注明签收时间。清点发现收到的公文与清单不符的，应立即提出并查找原因。各</w:t>
      </w:r>
      <w:r>
        <w:rPr>
          <w:rFonts w:hint="eastAsia" w:asciiTheme="minorEastAsia" w:hAnsiTheme="minorEastAsia" w:eastAsiaTheme="minorEastAsia" w:cstheme="minorEastAsia"/>
          <w:b w:val="0"/>
          <w:bCs w:val="0"/>
          <w:color w:val="auto"/>
          <w:sz w:val="24"/>
          <w:szCs w:val="24"/>
          <w:lang w:eastAsia="zh-CN"/>
        </w:rPr>
        <w:t>科室</w:t>
      </w:r>
      <w:r>
        <w:rPr>
          <w:rFonts w:hint="eastAsia" w:asciiTheme="minorEastAsia" w:hAnsiTheme="minorEastAsia" w:eastAsiaTheme="minorEastAsia" w:cstheme="minorEastAsia"/>
          <w:b w:val="0"/>
          <w:bCs w:val="0"/>
          <w:color w:val="auto"/>
          <w:sz w:val="24"/>
          <w:szCs w:val="24"/>
        </w:rPr>
        <w:t>（单位）不得直接接受有关部门和</w:t>
      </w:r>
      <w:r>
        <w:rPr>
          <w:rFonts w:hint="eastAsia" w:asciiTheme="minorEastAsia" w:hAnsiTheme="minorEastAsia" w:eastAsiaTheme="minorEastAsia" w:cstheme="minorEastAsia"/>
          <w:b w:val="0"/>
          <w:bCs w:val="0"/>
          <w:color w:val="auto"/>
          <w:sz w:val="24"/>
          <w:szCs w:val="24"/>
          <w:lang w:eastAsia="zh-CN"/>
        </w:rPr>
        <w:t>县</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eastAsia="zh-CN"/>
        </w:rPr>
        <w:t>市</w:t>
      </w:r>
      <w:r>
        <w:rPr>
          <w:rFonts w:hint="eastAsia" w:asciiTheme="minorEastAsia" w:hAnsiTheme="minorEastAsia" w:eastAsiaTheme="minorEastAsia" w:cstheme="minorEastAsia"/>
          <w:b w:val="0"/>
          <w:bCs w:val="0"/>
          <w:color w:val="auto"/>
          <w:sz w:val="24"/>
          <w:szCs w:val="24"/>
          <w:lang w:val="en-US" w:eastAsia="zh-CN"/>
        </w:rPr>
        <w:t>)区</w:t>
      </w:r>
      <w:r>
        <w:rPr>
          <w:rFonts w:hint="eastAsia" w:asciiTheme="minorEastAsia" w:hAnsiTheme="minorEastAsia" w:eastAsiaTheme="minorEastAsia" w:cstheme="minorEastAsia"/>
          <w:b w:val="0"/>
          <w:bCs w:val="0"/>
          <w:color w:val="auto"/>
          <w:sz w:val="24"/>
          <w:szCs w:val="24"/>
        </w:rPr>
        <w:t>呈报的需</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办理的公文，各</w:t>
      </w:r>
      <w:r>
        <w:rPr>
          <w:rFonts w:hint="eastAsia" w:asciiTheme="minorEastAsia" w:hAnsiTheme="minorEastAsia" w:eastAsiaTheme="minorEastAsia" w:cstheme="minorEastAsia"/>
          <w:b w:val="0"/>
          <w:bCs w:val="0"/>
          <w:color w:val="auto"/>
          <w:sz w:val="24"/>
          <w:szCs w:val="24"/>
          <w:lang w:eastAsia="zh-CN"/>
        </w:rPr>
        <w:t>科室</w:t>
      </w:r>
      <w:r>
        <w:rPr>
          <w:rFonts w:hint="eastAsia" w:asciiTheme="minorEastAsia" w:hAnsiTheme="minorEastAsia" w:eastAsiaTheme="minorEastAsia" w:cstheme="minorEastAsia"/>
          <w:b w:val="0"/>
          <w:bCs w:val="0"/>
          <w:color w:val="auto"/>
          <w:sz w:val="24"/>
          <w:szCs w:val="24"/>
        </w:rPr>
        <w:t>（单位）接到相关公文后，应交办公室统一办理。</w:t>
      </w:r>
    </w:p>
    <w:p w14:paraId="79086CA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登记。公文签收无误后，办公室文书人员应当对来文进行登记。登记的内容主要包括：收文编号、日期、来文机关、文号、标题、密级、紧急程度、份数等。涉密公文、非涉密公文应当分开登记，其中绝密级公文应当在专用登记簿上登记。</w:t>
      </w:r>
    </w:p>
    <w:p w14:paraId="37177A3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初审。办公室对收到的公文应当进行初审。初审的重点是：是否应当由我局办理，是否符合行文规则，文种、格式是否符合要求，涉及其他部门职权范围内的事项是否已经协商、会签，是否符合公文起草的其他要求。经初审不符合规定的公文，应当及时退回来文单位并说明理由。</w:t>
      </w:r>
    </w:p>
    <w:p w14:paraId="1074382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拟办。批办性公文，应当由办公室提出拟办意见报请相关局领导批示。拟办意见应当明确、具体。需要两个以上部门办理的公文，应当明确主办部门。紧急公文，应当明确办理时限。阅知性公文应当由办公室根据公文内容、要求和工作需要确定范围后分送。</w:t>
      </w:r>
    </w:p>
    <w:p w14:paraId="0B36C661">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批办。局领导对办公室报请批示的公文应当提出批办意见。如对拟办意见无异议，局领导圈阅视为同意。如对拟办意见有补充或不同意拟办意见的，局领导应当作出明确批示。</w:t>
      </w:r>
    </w:p>
    <w:p w14:paraId="5EE796D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strike/>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承办。承办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对交办的公文应当及时办理，不得延误、推诿，有明确办理时限要求的应当在规定时限内办理完毕，紧急公文应指定专人跟踪办理。如所涉事项复杂，在规定时间内难以办理完毕的，承办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要及时与来文单位沟通，说明情况。</w:t>
      </w:r>
    </w:p>
    <w:p w14:paraId="49A0219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公文办理中遇有涉及其他</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职权范围内的事项，主办</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（室）应当主动与相关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协商。如有分歧，主办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主要负责人要出面协调，如仍不能取得一致意见，报请局领导协调或者裁定。</w:t>
      </w:r>
    </w:p>
    <w:p w14:paraId="606CA13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各</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之间征求意见的公文，相关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应在规定时限内回复。未规定时限的，一般应在7个工作日内回复。如不能按期回复，相关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应主动与主办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沟通并确定回复时限及方式，否则主办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可以视其为没有不同意见，据此继续办理有关公文，但应当在报送的公文中说明有关情况。</w:t>
      </w:r>
    </w:p>
    <w:p w14:paraId="041F79B9">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传阅。根据领导批示和工作需要将公文及时送传阅对象阅知或者批示。办理公文传阅应当随时掌握公文去向，不得漏传、误传、延误。</w:t>
      </w:r>
    </w:p>
    <w:p w14:paraId="2BDBD7DE">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公文的传阅、传批原则上由办公室按领导排序依次呈送局领导。如遇局领导出差等情况，一般继续按顺序呈送；紧急和重要公文，在安全保密的前提下，采取有效途径向局长或相关业务分管局领导报告。</w:t>
      </w:r>
    </w:p>
    <w:p w14:paraId="4E580DB1">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文件传阅过程中，如局领导批请相关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负责同志阅知的，一般先继续传阅，待其他局领导传阅完毕后处理。如局领导批请相关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办理的，办公室应及时将批件印送相关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办理，原件继续传批，并注明已印送有关部门。</w:t>
      </w:r>
    </w:p>
    <w:p w14:paraId="3F2BDD41">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文件传批过程中，如局主要领导作出批示，应当采取回传方式，将局主要领导的批示意见送已阅批过的相关局领导阅知。</w:t>
      </w:r>
    </w:p>
    <w:p w14:paraId="6707368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对有具体请示事项的收文，主批人应当明确签署意见、姓名和审批日期，其他审批人圈阅视为同意；没有请示事项的，圈阅表示已阅知。</w:t>
      </w:r>
    </w:p>
    <w:p w14:paraId="15348716">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催办。经局领导批示或者交相关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办理的公文，办公室要负责督查催办，及时了解掌握公文的办理进展情况，督促承办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按期办结。紧急公文应当跟踪督查催办，重要公文应当重点督查催办，一般公文应当定期督查催办。</w:t>
      </w:r>
    </w:p>
    <w:p w14:paraId="2579A0B7">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答复。公文的办理结果应当及时答复来文单位，并根据需要告知相关单位。明确需要书面答复的，应予书面答复。</w:t>
      </w:r>
    </w:p>
    <w:p w14:paraId="6725C7C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495450D4">
      <w:pPr>
        <w:pageBreakBefore w:val="0"/>
        <w:kinsoku/>
        <w:wordWrap/>
        <w:overflowPunct/>
        <w:topLinePunct w:val="0"/>
        <w:autoSpaceDE/>
        <w:autoSpaceDN/>
        <w:bidi w:val="0"/>
        <w:adjustRightInd/>
        <w:spacing w:line="58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第六章 发文办理</w:t>
      </w:r>
    </w:p>
    <w:p w14:paraId="2407EAF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第十九条 发文办理指以局名义制发公文的过程，包括</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拟稿、</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负责人审签、办公室审核、局领导审签以及办公室登记、印制、用印、核发、存档等程序。</w:t>
      </w:r>
    </w:p>
    <w:p w14:paraId="43DD6454">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拟稿。拟稿人是所起草公文的第一责任人。公文拟稿要求为：</w:t>
      </w:r>
    </w:p>
    <w:p w14:paraId="4BA7F7C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符合国家法律法规和党的路线方针政策及国家、省医疗保障相关政策规定，完整准确体现我局发文意图，并同现行有关公文相衔接</w:t>
      </w:r>
      <w:r>
        <w:rPr>
          <w:rFonts w:hint="eastAsia" w:asciiTheme="minorEastAsia" w:hAnsiTheme="minorEastAsia" w:eastAsiaTheme="minorEastAsia" w:cstheme="minorEastAsia"/>
          <w:b w:val="0"/>
          <w:bCs w:val="0"/>
          <w:color w:val="auto"/>
          <w:sz w:val="24"/>
          <w:szCs w:val="24"/>
          <w:lang w:eastAsia="zh-CN"/>
        </w:rPr>
        <w:t>。</w:t>
      </w:r>
    </w:p>
    <w:p w14:paraId="2E235F6A">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一切从实际出发，分析问题实事求是，所提措施和办法切实可行</w:t>
      </w:r>
      <w:r>
        <w:rPr>
          <w:rFonts w:hint="eastAsia" w:asciiTheme="minorEastAsia" w:hAnsiTheme="minorEastAsia" w:eastAsiaTheme="minorEastAsia" w:cstheme="minorEastAsia"/>
          <w:b w:val="0"/>
          <w:bCs w:val="0"/>
          <w:color w:val="auto"/>
          <w:sz w:val="24"/>
          <w:szCs w:val="24"/>
          <w:lang w:eastAsia="zh-CN"/>
        </w:rPr>
        <w:t>。</w:t>
      </w:r>
    </w:p>
    <w:p w14:paraId="6C506C8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文种正确，格式规范，内容简洁，主题突出，观点鲜明，结构严谨，表述准确，文字精练</w:t>
      </w:r>
      <w:r>
        <w:rPr>
          <w:rFonts w:hint="eastAsia" w:asciiTheme="minorEastAsia" w:hAnsiTheme="minorEastAsia" w:eastAsiaTheme="minorEastAsia" w:cstheme="minorEastAsia"/>
          <w:b w:val="0"/>
          <w:bCs w:val="0"/>
          <w:color w:val="auto"/>
          <w:sz w:val="24"/>
          <w:szCs w:val="24"/>
          <w:lang w:eastAsia="zh-CN"/>
        </w:rPr>
        <w:t>。</w:t>
      </w:r>
    </w:p>
    <w:p w14:paraId="5E10138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深入调查研究，充分进行论证，广泛听取意见。公文涉及其他部门职权范围内的事项，必须征求相关部门意见，力求达成一致。公文涉及地区或者其他部门职权范围内的事项，起草</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必须征求相关地区或者部门意见，力求达成一致</w:t>
      </w:r>
      <w:r>
        <w:rPr>
          <w:rFonts w:hint="eastAsia" w:asciiTheme="minorEastAsia" w:hAnsiTheme="minorEastAsia" w:eastAsiaTheme="minorEastAsia" w:cstheme="minorEastAsia"/>
          <w:b w:val="0"/>
          <w:bCs w:val="0"/>
          <w:color w:val="auto"/>
          <w:sz w:val="24"/>
          <w:szCs w:val="24"/>
          <w:lang w:eastAsia="zh-CN"/>
        </w:rPr>
        <w:t>。</w:t>
      </w:r>
    </w:p>
    <w:p w14:paraId="6D3DA26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负责拟定所起草公文紧急程度、信息公开意见、是否涉密。如果涉密，严格按《</w:t>
      </w:r>
      <w:r>
        <w:rPr>
          <w:rFonts w:hint="eastAsia" w:asciiTheme="minorEastAsia" w:hAnsiTheme="minorEastAsia" w:eastAsiaTheme="minorEastAsia" w:cstheme="minorEastAsia"/>
          <w:b w:val="0"/>
          <w:bCs w:val="0"/>
          <w:color w:val="auto"/>
          <w:sz w:val="24"/>
          <w:szCs w:val="24"/>
          <w:lang w:eastAsia="zh-CN"/>
        </w:rPr>
        <w:t>保密</w:t>
      </w:r>
      <w:r>
        <w:rPr>
          <w:rFonts w:hint="eastAsia" w:asciiTheme="minorEastAsia" w:hAnsiTheme="minorEastAsia" w:eastAsiaTheme="minorEastAsia" w:cstheme="minorEastAsia"/>
          <w:b w:val="0"/>
          <w:bCs w:val="0"/>
          <w:color w:val="auto"/>
          <w:sz w:val="24"/>
          <w:szCs w:val="24"/>
        </w:rPr>
        <w:t>管理制度》办理。</w:t>
      </w:r>
    </w:p>
    <w:p w14:paraId="16ECEA80">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负责人审签：</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主要负责人是本</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公文审核的第一责任人，对本</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的公文处理负总责。重点审核是否符合上一条“公文拟稿要求”。</w:t>
      </w:r>
    </w:p>
    <w:p w14:paraId="463AD1BF">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政策法规处审核：由政策法规处签署明确的审核意见，并对此负责。</w:t>
      </w:r>
    </w:p>
    <w:p w14:paraId="145FBBC7">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办公室审核。负责对公文的合法性、公平性、规范性进行审核</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行文理由是否充分，行文依据是否准确，文种是否正确，格式是否规范，是否符合行文规则、政务公开要求和拟制公文的有关要求。对发文依据充分、符合发文标准的公文，经办公室专人核稿、明确发文字号、办公室主任复核签署拟办意见后，有</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承办人员送局领导审签。对发文依据不充分、文种不正确、要素不全、存在格式和文字错误的公文退回拟稿人。</w:t>
      </w:r>
    </w:p>
    <w:p w14:paraId="75B61242">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局领导审签。各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送呈局领导审签的公文，必须做到：符合国家法律法规和党的路线方针政策及国家、省医疗保障相关政策规定，完整准确体现我局发文意图，并同现行有关公文相衔接；一切从实际出发，分析问题实事求是，所提措施和办法切实可行；必须文种正确，格式规范，内容简洁，主题突出，观点鲜明，结构严谨，表述准确，文字精练；必须经过深入调查研究，充分进行论证，广泛听取意见。签发权限：</w:t>
      </w:r>
    </w:p>
    <w:p w14:paraId="71D18433">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名义印发（含联合发文）的上行文，由局主要领导或委托主持工作的局副职领导审签后印发</w:t>
      </w:r>
      <w:r>
        <w:rPr>
          <w:rFonts w:hint="eastAsia" w:asciiTheme="minorEastAsia" w:hAnsiTheme="minorEastAsia" w:eastAsiaTheme="minorEastAsia" w:cstheme="minorEastAsia"/>
          <w:b w:val="0"/>
          <w:bCs w:val="0"/>
          <w:color w:val="auto"/>
          <w:sz w:val="24"/>
          <w:szCs w:val="24"/>
          <w:lang w:eastAsia="zh-CN"/>
        </w:rPr>
        <w:t>。</w:t>
      </w:r>
    </w:p>
    <w:p w14:paraId="3B9DC765">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名义印发的平行文、下行文中，涉及到全局性、综合性（含涉及两位及以上局领导分管工作）或重大政策出台的相关文件，以及涉及“三重一大”（重大事项决策、重要干部任免、重要项目安排、大额资金的使用） 的重要文件，由局主要领导或委托主持工作的局副职领导审签后印发。</w:t>
      </w:r>
    </w:p>
    <w:p w14:paraId="16C047E9">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名义与其他省直单位联合印发的平行文、下行文中，我局主办的由局主要领导或委托主持工作的局副职领导审签；其他单位主办、我局协办的，按照第十九条（五）2.款执行</w:t>
      </w:r>
      <w:r>
        <w:rPr>
          <w:rFonts w:hint="eastAsia" w:asciiTheme="minorEastAsia" w:hAnsiTheme="minorEastAsia" w:eastAsiaTheme="minorEastAsia" w:cstheme="minorEastAsia"/>
          <w:b w:val="0"/>
          <w:bCs w:val="0"/>
          <w:color w:val="auto"/>
          <w:sz w:val="24"/>
          <w:szCs w:val="24"/>
          <w:lang w:eastAsia="zh-CN"/>
        </w:rPr>
        <w:t>。</w:t>
      </w:r>
    </w:p>
    <w:p w14:paraId="0337937D">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w:t>
      </w:r>
      <w:r>
        <w:rPr>
          <w:rFonts w:hint="eastAsia" w:asciiTheme="minorEastAsia" w:hAnsiTheme="minorEastAsia" w:eastAsiaTheme="minorEastAsia" w:cstheme="minorEastAsia"/>
          <w:b w:val="0"/>
          <w:bCs w:val="0"/>
          <w:color w:val="auto"/>
          <w:sz w:val="24"/>
          <w:szCs w:val="24"/>
          <w:lang w:eastAsia="zh-CN"/>
        </w:rPr>
        <w:t>市医保局</w:t>
      </w:r>
      <w:r>
        <w:rPr>
          <w:rFonts w:hint="eastAsia" w:asciiTheme="minorEastAsia" w:hAnsiTheme="minorEastAsia" w:eastAsiaTheme="minorEastAsia" w:cstheme="minorEastAsia"/>
          <w:b w:val="0"/>
          <w:bCs w:val="0"/>
          <w:color w:val="auto"/>
          <w:sz w:val="24"/>
          <w:szCs w:val="24"/>
        </w:rPr>
        <w:t>党组名义印发的文件，由局党组书记或主持工作的局党组委员签发</w:t>
      </w:r>
      <w:r>
        <w:rPr>
          <w:rFonts w:hint="eastAsia" w:asciiTheme="minorEastAsia" w:hAnsiTheme="minorEastAsia" w:eastAsiaTheme="minorEastAsia" w:cstheme="minorEastAsia"/>
          <w:b w:val="0"/>
          <w:bCs w:val="0"/>
          <w:color w:val="auto"/>
          <w:sz w:val="24"/>
          <w:szCs w:val="24"/>
          <w:lang w:eastAsia="zh-CN"/>
        </w:rPr>
        <w:t>。</w:t>
      </w:r>
    </w:p>
    <w:p w14:paraId="7F9439FC">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登记。对复核后的公文，由办公室确定发文字号、分送范围和印制份数并详细记载。文号应当连续编排。编号后取消发文的，原文号重新使用；跨年度取消发文的，原文号不再使用。其中涉密公文，应严格记录每份公文的发送去向。</w:t>
      </w:r>
    </w:p>
    <w:p w14:paraId="22AD60CB">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校对。主办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以签发公文的原稿为蓝本同清样进行校对，确认无误后交办公室印制。</w:t>
      </w:r>
    </w:p>
    <w:p w14:paraId="6EF883A4">
      <w:pPr>
        <w:pageBreakBefore w:val="0"/>
        <w:kinsoku/>
        <w:wordWrap/>
        <w:overflowPunct/>
        <w:topLinePunct w:val="0"/>
        <w:autoSpaceDE/>
        <w:autoSpaceDN/>
        <w:bidi w:val="0"/>
        <w:adjustRightIn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印制。公文印制工作由办公室统一负责组织。</w:t>
      </w:r>
    </w:p>
    <w:p w14:paraId="72A5FFD9">
      <w:pPr>
        <w:keepNext w:val="0"/>
        <w:keepLines w:val="0"/>
        <w:pageBreakBefore w:val="0"/>
        <w:widowControl w:val="0"/>
        <w:kinsoku/>
        <w:wordWrap/>
        <w:overflowPunct/>
        <w:topLinePunct w:val="0"/>
        <w:autoSpaceDE/>
        <w:autoSpaceDN/>
        <w:bidi w:val="0"/>
        <w:adjustRightIn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用印。主办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按局印信使用管理制度履行审批手续后，由办公室统一加盖印章。用印数量大或确有需要的，可申请套用印模送印刷厂印制公文。</w:t>
      </w:r>
    </w:p>
    <w:p w14:paraId="4D02F608">
      <w:pPr>
        <w:keepNext w:val="0"/>
        <w:keepLines w:val="0"/>
        <w:pageBreakBefore w:val="0"/>
        <w:widowControl w:val="0"/>
        <w:kinsoku/>
        <w:wordWrap/>
        <w:overflowPunct/>
        <w:topLinePunct w:val="0"/>
        <w:autoSpaceDE/>
        <w:autoSpaceDN/>
        <w:bidi w:val="0"/>
        <w:adjustRightIn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核发。公文印制完成后，办公室应立即通知承办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领取。承办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应当对公文的文字、格式和印刷质量进行检查、签收。公文审批定稿后不得更改，因印刷质量问题出现错误需要重印的，经办公室负责人审核批准后从快重印。主办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签收后，应按主送、抄送去向分别装封并分发。涉密公文应当通过保密渠道传输。</w:t>
      </w:r>
    </w:p>
    <w:p w14:paraId="17E1968E">
      <w:pPr>
        <w:keepNext w:val="0"/>
        <w:keepLines w:val="0"/>
        <w:pageBreakBefore w:val="0"/>
        <w:widowControl w:val="0"/>
        <w:kinsoku/>
        <w:wordWrap/>
        <w:overflowPunct/>
        <w:topLinePunct w:val="0"/>
        <w:autoSpaceDE/>
        <w:autoSpaceDN/>
        <w:bidi w:val="0"/>
        <w:adjustRightIn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第二十条 关于联合发文。属外单位主办的，由相关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负责提出修改意见，并呈报分管领导会签后，向办公室申请公章印模；印模用完后，由相关</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印模申请人立即归还办公室。属我局主办的，由承办</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负责到有关单位会签。公文会签后，按本办法继续办理。</w:t>
      </w:r>
    </w:p>
    <w:p w14:paraId="435BFA64">
      <w:pPr>
        <w:keepNext w:val="0"/>
        <w:keepLines w:val="0"/>
        <w:pageBreakBefore w:val="0"/>
        <w:widowControl w:val="0"/>
        <w:kinsoku/>
        <w:wordWrap/>
        <w:overflowPunct/>
        <w:topLinePunct w:val="0"/>
        <w:autoSpaceDE/>
        <w:autoSpaceDN/>
        <w:bidi w:val="0"/>
        <w:adjustRightIn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第二十一条 公文办理完毕后，应当根据《中华人民共和国档案法》及档案管理有关规定，及时将公文发文单、正本（一式两份）和有关材料及时收集齐全后交办公室整理归档。</w:t>
      </w:r>
    </w:p>
    <w:p w14:paraId="2929BFD4">
      <w:pPr>
        <w:keepNext w:val="0"/>
        <w:keepLines w:val="0"/>
        <w:pageBreakBefore w:val="0"/>
        <w:widowControl w:val="0"/>
        <w:kinsoku/>
        <w:wordWrap/>
        <w:overflowPunct/>
        <w:topLinePunct w:val="0"/>
        <w:autoSpaceDE/>
        <w:autoSpaceDN/>
        <w:bidi w:val="0"/>
        <w:adjustRightInd/>
        <w:spacing w:line="54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归档范围内的公文，应当根据其相互联系、特征和保存价值等整理，要保证归档公文的齐全、完整，能正确反映主要工作情况，便于保管和利用。</w:t>
      </w:r>
    </w:p>
    <w:p w14:paraId="5C9069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27BC8699">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w:t>
      </w: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章 发文办理</w:t>
      </w:r>
    </w:p>
    <w:p w14:paraId="2BF09E8D">
      <w:pPr>
        <w:keepNext w:val="0"/>
        <w:keepLines w:val="0"/>
        <w:pageBreakBefore w:val="0"/>
        <w:widowControl w:val="0"/>
        <w:kinsoku/>
        <w:wordWrap/>
        <w:overflowPunct/>
        <w:topLinePunct w:val="0"/>
        <w:autoSpaceDE/>
        <w:autoSpaceDN/>
        <w:bidi w:val="0"/>
        <w:adjustRightInd/>
        <w:spacing w:line="54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第二十二条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本办法由办公室负责解释。</w:t>
      </w:r>
    </w:p>
    <w:p w14:paraId="78E10C18">
      <w:pPr>
        <w:keepNext w:val="0"/>
        <w:keepLines w:val="0"/>
        <w:pageBreakBefore w:val="0"/>
        <w:widowControl w:val="0"/>
        <w:kinsoku/>
        <w:wordWrap/>
        <w:overflowPunct/>
        <w:topLinePunct w:val="0"/>
        <w:autoSpaceDE/>
        <w:autoSpaceDN/>
        <w:bidi w:val="0"/>
        <w:adjustRightInd/>
        <w:spacing w:line="540" w:lineRule="exact"/>
        <w:ind w:left="0" w:firstLine="631"/>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第二十三条 本办法自印发之日起试行。本办法未尽事宜按《党政机关公文处理工作条例》（中办发〔2012〕14号）和《党政机关公文格式》国家标准等有关规定执行。</w:t>
      </w:r>
    </w:p>
    <w:p w14:paraId="434E1FA1">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第二十四条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p>
    <w:p w14:paraId="0C197AEE">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br w:type="page"/>
      </w:r>
    </w:p>
    <w:p w14:paraId="14ABC345">
      <w:pPr>
        <w:pStyle w:val="3"/>
        <w:bidi w:val="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印章使用管理制度</w:t>
      </w:r>
    </w:p>
    <w:p w14:paraId="33950E37">
      <w:pPr>
        <w:pageBreakBefore w:val="0"/>
        <w:kinsoku/>
        <w:wordWrap/>
        <w:overflowPunct/>
        <w:topLinePunct w:val="0"/>
        <w:autoSpaceDE/>
        <w:autoSpaceDN/>
        <w:bidi w:val="0"/>
        <w:adjustRightInd/>
        <w:spacing w:line="580" w:lineRule="exact"/>
        <w:ind w:left="0" w:leftChars="0" w:right="0" w:rightChars="0" w:firstLine="480" w:firstLineChars="200"/>
        <w:jc w:val="left"/>
        <w:textAlignment w:val="auto"/>
        <w:rPr>
          <w:rFonts w:hint="eastAsia" w:asciiTheme="minorEastAsia" w:hAnsiTheme="minorEastAsia" w:eastAsiaTheme="minorEastAsia" w:cstheme="minorEastAsia"/>
          <w:b w:val="0"/>
          <w:bCs w:val="0"/>
          <w:color w:val="auto"/>
          <w:sz w:val="24"/>
          <w:szCs w:val="24"/>
          <w:u w:val="single"/>
        </w:rPr>
      </w:pPr>
      <w:r>
        <w:rPr>
          <w:rFonts w:hint="eastAsia" w:asciiTheme="minorEastAsia" w:hAnsiTheme="minorEastAsia" w:eastAsiaTheme="minorEastAsia" w:cstheme="minorEastAsia"/>
          <w:b w:val="0"/>
          <w:bCs w:val="0"/>
          <w:color w:val="auto"/>
          <w:sz w:val="24"/>
          <w:szCs w:val="24"/>
        </w:rPr>
        <w:t>为进一步加强行政印章使用管理，根据《国务院关于国家行政机关和企业、事业单位印章的规定》（国发〔1999〕25号）等相关规定，</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rPr>
        <w:t>制定本制度。本制度所称行政印章（以下简称“印章”），包括冠有“</w:t>
      </w:r>
      <w:r>
        <w:rPr>
          <w:rFonts w:hint="eastAsia" w:asciiTheme="minorEastAsia" w:hAnsiTheme="minorEastAsia" w:eastAsiaTheme="minorEastAsia" w:cstheme="minorEastAsia"/>
          <w:b w:val="0"/>
          <w:bCs w:val="0"/>
          <w:color w:val="auto"/>
          <w:sz w:val="24"/>
          <w:szCs w:val="24"/>
          <w:lang w:eastAsia="zh-CN"/>
        </w:rPr>
        <w:t>白城市</w:t>
      </w:r>
      <w:r>
        <w:rPr>
          <w:rFonts w:hint="eastAsia" w:asciiTheme="minorEastAsia" w:hAnsiTheme="minorEastAsia" w:eastAsiaTheme="minorEastAsia" w:cstheme="minorEastAsia"/>
          <w:b w:val="0"/>
          <w:bCs w:val="0"/>
          <w:color w:val="auto"/>
          <w:sz w:val="24"/>
          <w:szCs w:val="24"/>
        </w:rPr>
        <w:t>医疗保障局”字样的各类印章、印模、钢印、电子印章等，具体包括局公章、法定代表人名章、局财务印章</w:t>
      </w:r>
      <w:r>
        <w:rPr>
          <w:rFonts w:hint="eastAsia" w:asciiTheme="minorEastAsia" w:hAnsiTheme="minorEastAsia" w:eastAsiaTheme="minorEastAsia" w:cstheme="minorEastAsia"/>
          <w:b w:val="0"/>
          <w:bCs w:val="0"/>
          <w:color w:val="auto"/>
          <w:sz w:val="24"/>
          <w:szCs w:val="24"/>
          <w:lang w:eastAsia="zh-CN"/>
        </w:rPr>
        <w:t>和</w:t>
      </w:r>
      <w:r>
        <w:rPr>
          <w:rFonts w:hint="eastAsia" w:asciiTheme="minorEastAsia" w:hAnsiTheme="minorEastAsia" w:eastAsiaTheme="minorEastAsia" w:cstheme="minorEastAsia"/>
          <w:b w:val="0"/>
          <w:bCs w:val="0"/>
          <w:color w:val="auto"/>
          <w:sz w:val="24"/>
          <w:szCs w:val="24"/>
        </w:rPr>
        <w:t>各</w:t>
      </w:r>
      <w:r>
        <w:rPr>
          <w:rFonts w:hint="eastAsia" w:asciiTheme="minorEastAsia" w:hAnsiTheme="minorEastAsia" w:eastAsiaTheme="minorEastAsia" w:cstheme="minorEastAsia"/>
          <w:b w:val="0"/>
          <w:bCs w:val="0"/>
          <w:color w:val="auto"/>
          <w:sz w:val="24"/>
          <w:szCs w:val="24"/>
          <w:lang w:eastAsia="zh-CN"/>
        </w:rPr>
        <w:t>科室</w:t>
      </w:r>
      <w:r>
        <w:rPr>
          <w:rFonts w:hint="eastAsia" w:asciiTheme="minorEastAsia" w:hAnsiTheme="minorEastAsia" w:eastAsiaTheme="minorEastAsia" w:cstheme="minorEastAsia"/>
          <w:b w:val="0"/>
          <w:bCs w:val="0"/>
          <w:color w:val="auto"/>
          <w:sz w:val="24"/>
          <w:szCs w:val="24"/>
        </w:rPr>
        <w:t>业务印章等。</w:t>
      </w:r>
    </w:p>
    <w:p w14:paraId="25F7DE2F">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印章的保管存放</w:t>
      </w:r>
    </w:p>
    <w:p w14:paraId="4559D0B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局公章、法定代表人名章、由局办公室负责管理存放，财务印章、各处室业务印章由各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室管理存放。印章要锁入铁皮柜中，指定专人保管。</w:t>
      </w:r>
    </w:p>
    <w:p w14:paraId="0A5236E4">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lang w:eastAsia="zh-CN"/>
        </w:rPr>
        <w:t>第二条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印章的使用范围</w:t>
      </w:r>
    </w:p>
    <w:p w14:paraId="457C280E">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局公章</w:t>
      </w:r>
    </w:p>
    <w:p w14:paraId="44846E76">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以局名义印发的各类公文</w:t>
      </w:r>
      <w:r>
        <w:rPr>
          <w:rFonts w:hint="eastAsia" w:asciiTheme="minorEastAsia" w:hAnsiTheme="minorEastAsia" w:eastAsiaTheme="minorEastAsia" w:cstheme="minorEastAsia"/>
          <w:b w:val="0"/>
          <w:bCs w:val="0"/>
          <w:color w:val="auto"/>
          <w:sz w:val="24"/>
          <w:szCs w:val="24"/>
          <w:lang w:eastAsia="zh-CN"/>
        </w:rPr>
        <w:t>。</w:t>
      </w:r>
    </w:p>
    <w:p w14:paraId="5658381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各种统计报表（月报、季报、年报）等事务文书</w:t>
      </w:r>
      <w:r>
        <w:rPr>
          <w:rFonts w:hint="eastAsia" w:asciiTheme="minorEastAsia" w:hAnsiTheme="minorEastAsia" w:eastAsiaTheme="minorEastAsia" w:cstheme="minorEastAsia"/>
          <w:b w:val="0"/>
          <w:bCs w:val="0"/>
          <w:color w:val="auto"/>
          <w:sz w:val="24"/>
          <w:szCs w:val="24"/>
          <w:lang w:eastAsia="zh-CN"/>
        </w:rPr>
        <w:t>。</w:t>
      </w:r>
    </w:p>
    <w:p w14:paraId="5F251144">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依据法律法规等有关规定以局名义对单位或个人出具的文书</w:t>
      </w:r>
      <w:r>
        <w:rPr>
          <w:rFonts w:hint="eastAsia" w:asciiTheme="minorEastAsia" w:hAnsiTheme="minorEastAsia" w:eastAsiaTheme="minorEastAsia" w:cstheme="minorEastAsia"/>
          <w:b w:val="0"/>
          <w:bCs w:val="0"/>
          <w:color w:val="auto"/>
          <w:sz w:val="24"/>
          <w:szCs w:val="24"/>
          <w:lang w:eastAsia="zh-CN"/>
        </w:rPr>
        <w:t>。</w:t>
      </w:r>
    </w:p>
    <w:p w14:paraId="6D830932">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对外的证明、函、介绍信</w:t>
      </w:r>
      <w:r>
        <w:rPr>
          <w:rFonts w:hint="eastAsia" w:asciiTheme="minorEastAsia" w:hAnsiTheme="minorEastAsia" w:eastAsiaTheme="minorEastAsia" w:cstheme="minorEastAsia"/>
          <w:b w:val="0"/>
          <w:bCs w:val="0"/>
          <w:color w:val="auto"/>
          <w:sz w:val="24"/>
          <w:szCs w:val="24"/>
          <w:lang w:eastAsia="zh-CN"/>
        </w:rPr>
        <w:t>。</w:t>
      </w:r>
    </w:p>
    <w:p w14:paraId="0A5D82F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以局名义签订的协议书、意向书和合同等</w:t>
      </w:r>
      <w:r>
        <w:rPr>
          <w:rFonts w:hint="eastAsia" w:asciiTheme="minorEastAsia" w:hAnsiTheme="minorEastAsia" w:eastAsiaTheme="minorEastAsia" w:cstheme="minorEastAsia"/>
          <w:b w:val="0"/>
          <w:bCs w:val="0"/>
          <w:color w:val="auto"/>
          <w:sz w:val="24"/>
          <w:szCs w:val="24"/>
          <w:lang w:eastAsia="zh-CN"/>
        </w:rPr>
        <w:t>。</w:t>
      </w:r>
    </w:p>
    <w:p w14:paraId="04E326E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以局名义颁发的各种证件、证书、聘书等</w:t>
      </w:r>
      <w:r>
        <w:rPr>
          <w:rFonts w:hint="eastAsia" w:asciiTheme="minorEastAsia" w:hAnsiTheme="minorEastAsia" w:eastAsiaTheme="minorEastAsia" w:cstheme="minorEastAsia"/>
          <w:b w:val="0"/>
          <w:bCs w:val="0"/>
          <w:color w:val="auto"/>
          <w:sz w:val="24"/>
          <w:szCs w:val="24"/>
          <w:lang w:eastAsia="zh-CN"/>
        </w:rPr>
        <w:t>。</w:t>
      </w:r>
    </w:p>
    <w:p w14:paraId="59CBFEB7">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各类需经局批准的申请表、申报材料、出国材料等</w:t>
      </w:r>
      <w:r>
        <w:rPr>
          <w:rFonts w:hint="eastAsia" w:asciiTheme="minorEastAsia" w:hAnsiTheme="minorEastAsia" w:eastAsiaTheme="minorEastAsia" w:cstheme="minorEastAsia"/>
          <w:b w:val="0"/>
          <w:bCs w:val="0"/>
          <w:color w:val="auto"/>
          <w:sz w:val="24"/>
          <w:szCs w:val="24"/>
          <w:lang w:eastAsia="zh-CN"/>
        </w:rPr>
        <w:t>。</w:t>
      </w:r>
    </w:p>
    <w:p w14:paraId="63917FD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其它需要使用局公章的事项。</w:t>
      </w:r>
    </w:p>
    <w:p w14:paraId="12C4CE4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法定代表人名章</w:t>
      </w:r>
    </w:p>
    <w:p w14:paraId="5A836A48">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需要法定代表人署名的相关报表、合同、协议以及委托书、任务书、申报表、审批表等</w:t>
      </w:r>
      <w:r>
        <w:rPr>
          <w:rFonts w:hint="eastAsia" w:asciiTheme="minorEastAsia" w:hAnsiTheme="minorEastAsia" w:eastAsiaTheme="minorEastAsia" w:cstheme="minorEastAsia"/>
          <w:b w:val="0"/>
          <w:bCs w:val="0"/>
          <w:color w:val="auto"/>
          <w:sz w:val="24"/>
          <w:szCs w:val="24"/>
          <w:lang w:eastAsia="zh-CN"/>
        </w:rPr>
        <w:t>。</w:t>
      </w:r>
    </w:p>
    <w:p w14:paraId="0413A8E4">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需加盖法定代表人名章的财务票据</w:t>
      </w:r>
      <w:r>
        <w:rPr>
          <w:rFonts w:hint="eastAsia" w:asciiTheme="minorEastAsia" w:hAnsiTheme="minorEastAsia" w:eastAsiaTheme="minorEastAsia" w:cstheme="minorEastAsia"/>
          <w:b w:val="0"/>
          <w:bCs w:val="0"/>
          <w:color w:val="auto"/>
          <w:sz w:val="24"/>
          <w:szCs w:val="24"/>
          <w:lang w:eastAsia="zh-CN"/>
        </w:rPr>
        <w:t>。</w:t>
      </w:r>
    </w:p>
    <w:p w14:paraId="4A1F1D17">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以法定代表人名义发出的信函</w:t>
      </w:r>
      <w:r>
        <w:rPr>
          <w:rFonts w:hint="eastAsia" w:asciiTheme="minorEastAsia" w:hAnsiTheme="minorEastAsia" w:eastAsiaTheme="minorEastAsia" w:cstheme="minorEastAsia"/>
          <w:b w:val="0"/>
          <w:bCs w:val="0"/>
          <w:color w:val="auto"/>
          <w:sz w:val="24"/>
          <w:szCs w:val="24"/>
          <w:lang w:eastAsia="zh-CN"/>
        </w:rPr>
        <w:t>。</w:t>
      </w:r>
    </w:p>
    <w:p w14:paraId="334BBF5D">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其它需要使用法定代表人名章的事项。</w:t>
      </w:r>
    </w:p>
    <w:p w14:paraId="6482EC6D">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财务印章</w:t>
      </w:r>
    </w:p>
    <w:p w14:paraId="7422930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按照财务制度规定，需加盖专用印章的各类凭证（票据）、用款申请、报告和报表等。</w:t>
      </w:r>
    </w:p>
    <w:p w14:paraId="4B861AEC">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室业务印章</w:t>
      </w:r>
    </w:p>
    <w:p w14:paraId="11F512D2">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在本</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室业务职责范围内，按照相关规定，在业务经办、资料收集、流转过程中需要加盖</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室印章的各类账表卡册、单据等</w:t>
      </w:r>
      <w:r>
        <w:rPr>
          <w:rFonts w:hint="eastAsia" w:asciiTheme="minorEastAsia" w:hAnsiTheme="minorEastAsia" w:eastAsiaTheme="minorEastAsia" w:cstheme="minorEastAsia"/>
          <w:b w:val="0"/>
          <w:bCs w:val="0"/>
          <w:color w:val="auto"/>
          <w:sz w:val="24"/>
          <w:szCs w:val="24"/>
          <w:lang w:eastAsia="zh-CN"/>
        </w:rPr>
        <w:t>。</w:t>
      </w:r>
    </w:p>
    <w:p w14:paraId="0B802FDA">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向局的请示和报告、与局内各处室联系工作、发布的一般性的通知等，不得用于对外发文。</w:t>
      </w:r>
    </w:p>
    <w:p w14:paraId="2198FD0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印章使用程序和批准权限</w:t>
      </w:r>
    </w:p>
    <w:p w14:paraId="52D4A75E">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使用印章必须填写《印</w:t>
      </w:r>
      <w:r>
        <w:rPr>
          <w:rFonts w:hint="eastAsia" w:asciiTheme="minorEastAsia" w:hAnsiTheme="minorEastAsia" w:eastAsiaTheme="minorEastAsia" w:cstheme="minorEastAsia"/>
          <w:b w:val="0"/>
          <w:bCs w:val="0"/>
          <w:color w:val="auto"/>
          <w:sz w:val="24"/>
          <w:szCs w:val="24"/>
          <w:lang w:eastAsia="zh-CN"/>
        </w:rPr>
        <w:t>章使用登记本</w:t>
      </w:r>
      <w:r>
        <w:rPr>
          <w:rFonts w:hint="eastAsia" w:asciiTheme="minorEastAsia" w:hAnsiTheme="minorEastAsia" w:eastAsiaTheme="minorEastAsia" w:cstheme="minorEastAsia"/>
          <w:b w:val="0"/>
          <w:bCs w:val="0"/>
          <w:color w:val="auto"/>
          <w:sz w:val="24"/>
          <w:szCs w:val="24"/>
        </w:rPr>
        <w:t>》，由</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经办人负责人签字，并报局领导审批后，方可用印。具体审批权限如下：</w:t>
      </w:r>
    </w:p>
    <w:p w14:paraId="23E52D9A">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局公章</w:t>
      </w:r>
    </w:p>
    <w:p w14:paraId="1D21A81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使用局公章原则上必须由局主要领导或委托主持工作的局副职领导审批</w:t>
      </w:r>
      <w:r>
        <w:rPr>
          <w:rFonts w:hint="eastAsia" w:asciiTheme="minorEastAsia" w:hAnsiTheme="minorEastAsia" w:eastAsiaTheme="minorEastAsia" w:cstheme="minorEastAsia"/>
          <w:b w:val="0"/>
          <w:bCs w:val="0"/>
          <w:color w:val="auto"/>
          <w:sz w:val="24"/>
          <w:szCs w:val="24"/>
          <w:lang w:eastAsia="zh-CN"/>
        </w:rPr>
        <w:t>。</w:t>
      </w:r>
    </w:p>
    <w:p w14:paraId="051725F0">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用印事项不涉及向上级机关请示报告等对上事项，不涉及全局性、综合性（含涉及两位及以上局领导分管工作）或重大政策出台的相关事项，不涉及“三重一大”（重大事项决策、重要干部任免、重要项目安排、大额资金的使用）事项时，可由分管局领导审批</w:t>
      </w:r>
      <w:r>
        <w:rPr>
          <w:rFonts w:hint="eastAsia" w:asciiTheme="minorEastAsia" w:hAnsiTheme="minorEastAsia" w:eastAsiaTheme="minorEastAsia" w:cstheme="minorEastAsia"/>
          <w:b w:val="0"/>
          <w:bCs w:val="0"/>
          <w:color w:val="auto"/>
          <w:sz w:val="24"/>
          <w:szCs w:val="24"/>
          <w:lang w:eastAsia="zh-CN"/>
        </w:rPr>
        <w:t>。</w:t>
      </w:r>
    </w:p>
    <w:p w14:paraId="5193DA66">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用印事项仅涉及局领导签批事项附属的明确性、具体性、事务性工作时，可由办公室负责人签字用印。</w:t>
      </w:r>
    </w:p>
    <w:p w14:paraId="447D556F">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法定代表人名章</w:t>
      </w:r>
    </w:p>
    <w:p w14:paraId="1CE6A05A">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使用局法定代表人名章必须由局主要领导或委托主持工作的局副职领导审批</w:t>
      </w:r>
      <w:r>
        <w:rPr>
          <w:rFonts w:hint="eastAsia" w:asciiTheme="minorEastAsia" w:hAnsiTheme="minorEastAsia" w:eastAsiaTheme="minorEastAsia" w:cstheme="minorEastAsia"/>
          <w:b w:val="0"/>
          <w:bCs w:val="0"/>
          <w:color w:val="auto"/>
          <w:sz w:val="24"/>
          <w:szCs w:val="24"/>
          <w:lang w:eastAsia="zh-CN"/>
        </w:rPr>
        <w:t>。</w:t>
      </w:r>
    </w:p>
    <w:p w14:paraId="60F2D98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用印事项仅涉及局领导签批事项附属的明确性、具体性、事务性工作时，可由办公室负责人签字用印。</w:t>
      </w:r>
    </w:p>
    <w:p w14:paraId="13EB9160">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财务印章</w:t>
      </w:r>
    </w:p>
    <w:p w14:paraId="37DB0A50">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使用财务印章，由局财务负责人全权负责，具体按国家和省财务管理制度有关规定办理。</w:t>
      </w:r>
    </w:p>
    <w:p w14:paraId="26D30BB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室业务印章</w:t>
      </w:r>
    </w:p>
    <w:p w14:paraId="5BC0A93C">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使用各</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室业务印章，由</w:t>
      </w:r>
      <w:r>
        <w:rPr>
          <w:rFonts w:hint="eastAsia" w:asciiTheme="minorEastAsia" w:hAnsiTheme="minorEastAsia" w:eastAsiaTheme="minorEastAsia" w:cstheme="minorEastAsia"/>
          <w:b w:val="0"/>
          <w:bCs w:val="0"/>
          <w:color w:val="auto"/>
          <w:sz w:val="24"/>
          <w:szCs w:val="24"/>
          <w:lang w:eastAsia="zh-CN"/>
        </w:rPr>
        <w:t>科</w:t>
      </w:r>
      <w:r>
        <w:rPr>
          <w:rFonts w:hint="eastAsia" w:asciiTheme="minorEastAsia" w:hAnsiTheme="minorEastAsia" w:eastAsiaTheme="minorEastAsia" w:cstheme="minorEastAsia"/>
          <w:b w:val="0"/>
          <w:bCs w:val="0"/>
          <w:color w:val="auto"/>
          <w:sz w:val="24"/>
          <w:szCs w:val="24"/>
        </w:rPr>
        <w:t>室负责人审批。</w:t>
      </w:r>
    </w:p>
    <w:p w14:paraId="3E0DDE87">
      <w:pPr>
        <w:keepNext w:val="0"/>
        <w:keepLines w:val="0"/>
        <w:pageBreakBefore w:val="0"/>
        <w:widowControl w:val="0"/>
        <w:kinsoku/>
        <w:wordWrap/>
        <w:overflowPunct/>
        <w:topLinePunct w:val="0"/>
        <w:autoSpaceDE/>
        <w:autoSpaceDN/>
        <w:bidi w:val="0"/>
        <w:adjustRightInd/>
        <w:snapToGrid/>
        <w:spacing w:line="580" w:lineRule="exact"/>
        <w:ind w:left="0" w:firstLine="645"/>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有关事项</w:t>
      </w:r>
    </w:p>
    <w:p w14:paraId="473AA27E">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办公室是全局印章的主管部门，负责公章的统一刻制，并对全局印章管理情况进行监督；任何单位和个人不得私刻公章（印模）。</w:t>
      </w:r>
    </w:p>
    <w:p w14:paraId="073D4182">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经过各级领导签批的公文，成文后可以直接盖章，无需重复呈请领导签字。</w:t>
      </w:r>
    </w:p>
    <w:p w14:paraId="639308C2">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rPr>
        <w:t>3.</w:t>
      </w:r>
      <w:r>
        <w:rPr>
          <w:rFonts w:hint="eastAsia" w:asciiTheme="minorEastAsia" w:hAnsiTheme="minorEastAsia" w:eastAsiaTheme="minorEastAsia" w:cstheme="minorEastAsia"/>
          <w:b w:val="0"/>
          <w:bCs w:val="0"/>
          <w:color w:val="auto"/>
          <w:kern w:val="0"/>
          <w:sz w:val="24"/>
          <w:szCs w:val="24"/>
        </w:rPr>
        <w:t>印章管理人员要有高度的政治责任感和严格的保密观念。用印时必须认真监印，凡</w:t>
      </w:r>
      <w:r>
        <w:rPr>
          <w:rFonts w:hint="eastAsia" w:asciiTheme="minorEastAsia" w:hAnsiTheme="minorEastAsia" w:eastAsiaTheme="minorEastAsia" w:cstheme="minorEastAsia"/>
          <w:b w:val="0"/>
          <w:bCs w:val="0"/>
          <w:color w:val="auto"/>
          <w:kern w:val="0"/>
          <w:sz w:val="24"/>
          <w:szCs w:val="24"/>
          <w:lang w:eastAsia="zh-CN"/>
        </w:rPr>
        <w:t>无领导</w:t>
      </w:r>
      <w:r>
        <w:rPr>
          <w:rFonts w:hint="eastAsia" w:asciiTheme="minorEastAsia" w:hAnsiTheme="minorEastAsia" w:eastAsiaTheme="minorEastAsia" w:cstheme="minorEastAsia"/>
          <w:b w:val="0"/>
          <w:bCs w:val="0"/>
          <w:color w:val="auto"/>
          <w:kern w:val="0"/>
          <w:sz w:val="24"/>
          <w:szCs w:val="24"/>
        </w:rPr>
        <w:t>或不符合用印规定的，有权拒绝用印并报告有关领导。严禁在空白支票、票据、文头纸和表格上用印，不得开具空白介绍信。</w:t>
      </w:r>
      <w:r>
        <w:rPr>
          <w:rFonts w:hint="eastAsia" w:asciiTheme="minorEastAsia" w:hAnsiTheme="minorEastAsia" w:eastAsiaTheme="minorEastAsia" w:cstheme="minorEastAsia"/>
          <w:b w:val="0"/>
          <w:bCs w:val="0"/>
          <w:color w:val="auto"/>
          <w:sz w:val="24"/>
          <w:szCs w:val="24"/>
        </w:rPr>
        <w:t>用章使用必须做到：“人在章在、人走章收”，随时上锁保管，固定存放；严禁个人之间私自授受印章；非印章管理人员严禁动用印章。非工作时间，由印章管理人员统一上锁保管。</w:t>
      </w:r>
    </w:p>
    <w:p w14:paraId="699DE618">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因局领导外出，无法及时签批时，用印</w:t>
      </w:r>
      <w:r>
        <w:rPr>
          <w:rFonts w:hint="eastAsia" w:asciiTheme="minorEastAsia" w:hAnsiTheme="minorEastAsia" w:eastAsiaTheme="minorEastAsia" w:cstheme="minorEastAsia"/>
          <w:b w:val="0"/>
          <w:bCs w:val="0"/>
          <w:color w:val="auto"/>
          <w:sz w:val="24"/>
          <w:szCs w:val="24"/>
          <w:lang w:eastAsia="zh-CN"/>
        </w:rPr>
        <w:t>科室（单位）</w:t>
      </w:r>
      <w:r>
        <w:rPr>
          <w:rFonts w:hint="eastAsia" w:asciiTheme="minorEastAsia" w:hAnsiTheme="minorEastAsia" w:eastAsiaTheme="minorEastAsia" w:cstheme="minorEastAsia"/>
          <w:b w:val="0"/>
          <w:bCs w:val="0"/>
          <w:color w:val="auto"/>
          <w:sz w:val="24"/>
          <w:szCs w:val="24"/>
        </w:rPr>
        <w:t>可通过电话、微信或电子邮件等方式报领导审批，向办公室出示领导意见相关证明后可先行用印，事后及时补办审批手续。</w:t>
      </w:r>
    </w:p>
    <w:p w14:paraId="3B53BBAB">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rPr>
        <w:t>印章使用原则上限于正常办公时间内，不得携带印章离开办公室。印章管理人员要亲自掌管，未经批准不得交他人使用。</w:t>
      </w:r>
    </w:p>
    <w:p w14:paraId="3E1F6890">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局党组、机关</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等相关印章由机关</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保管，并按照中国共产党关于印章的相关规定执行。</w:t>
      </w:r>
    </w:p>
    <w:p w14:paraId="404A1A59">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w:t>
      </w:r>
      <w:r>
        <w:rPr>
          <w:rFonts w:hint="eastAsia" w:asciiTheme="minorEastAsia" w:hAnsiTheme="minorEastAsia" w:eastAsiaTheme="minorEastAsia" w:cstheme="minorEastAsia"/>
          <w:b w:val="0"/>
          <w:bCs w:val="0"/>
          <w:color w:val="auto"/>
          <w:sz w:val="24"/>
          <w:szCs w:val="24"/>
        </w:rPr>
        <w:t>五</w:t>
      </w:r>
      <w:r>
        <w:rPr>
          <w:rFonts w:hint="eastAsia" w:asciiTheme="minorEastAsia" w:hAnsiTheme="minorEastAsia" w:eastAsiaTheme="minorEastAsia" w:cstheme="minorEastAsia"/>
          <w:b w:val="0"/>
          <w:bCs w:val="0"/>
          <w:color w:val="auto"/>
          <w:sz w:val="24"/>
          <w:szCs w:val="24"/>
          <w:lang w:eastAsia="zh-CN"/>
        </w:rPr>
        <w:t>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本制度自印发之日起试行。</w:t>
      </w:r>
    </w:p>
    <w:p w14:paraId="4F6B26F4">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53F9B61C">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4AB5457D">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031A6503">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4AC19A70">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2E784122">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48CD542D">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6AB7FCC5">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1F313585">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1E2C074E">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6DE1F8FB">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5B7509C0">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2D981927">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1CA04702">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0E268F8C">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783F208E">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41967A36">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2827FBEB">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3E4E28E6">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26D944CE">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107C682C">
      <w:pPr>
        <w:pStyle w:val="8"/>
        <w:keepNext w:val="0"/>
        <w:keepLines w:val="0"/>
        <w:pageBreakBefore w:val="0"/>
        <w:widowControl w:val="0"/>
        <w:kinsoku/>
        <w:wordWrap/>
        <w:overflowPunct/>
        <w:topLinePunct w:val="0"/>
        <w:autoSpaceDE/>
        <w:autoSpaceDN/>
        <w:bidi w:val="0"/>
        <w:adjustRightInd/>
        <w:snapToGrid/>
        <w:spacing w:line="580" w:lineRule="exact"/>
        <w:ind w:left="0" w:firstLine="2530" w:firstLineChars="700"/>
        <w:jc w:val="both"/>
        <w:textAlignment w:val="auto"/>
        <w:rPr>
          <w:rFonts w:hint="eastAsia" w:asciiTheme="minorEastAsia" w:hAnsiTheme="minorEastAsia" w:eastAsiaTheme="minorEastAsia" w:cstheme="minorEastAsia"/>
          <w:b/>
          <w:bCs/>
          <w:color w:val="auto"/>
          <w:sz w:val="36"/>
          <w:szCs w:val="36"/>
        </w:rPr>
      </w:pPr>
    </w:p>
    <w:p w14:paraId="71546827">
      <w:pPr>
        <w:pStyle w:val="3"/>
        <w:bidi w:val="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保密工作制度</w:t>
      </w:r>
    </w:p>
    <w:p w14:paraId="236E9D57">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保密工作关系到国家的安全和利益,保守党和国家秘密是国家公务人员的基本职责和义务。根据国家有关保密法规,结合白城市医疗保障局工作实际,制定本制度。</w:t>
      </w:r>
    </w:p>
    <w:p w14:paraId="71AD5AE8">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机要文件保密</w:t>
      </w:r>
    </w:p>
    <w:p w14:paraId="029369B8">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1.机要人员必须执行党和国家的保密制度,在任何情况下都必须采取可靠的措施,保障秘密载体的安全。对机要文件的收发、登记、分送、传阅、销毁等各个环节,都要进行认真登记,机要文件应定期收回。</w:t>
      </w:r>
    </w:p>
    <w:p w14:paraId="77470E8C">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2.机要文书统一掌握传阅机要文件。阅读机要文件的人员不得自行横传截留,阅后及时退还办公室机要文书。未经批准不得擅自扩大阅读范围。</w:t>
      </w:r>
    </w:p>
    <w:p w14:paraId="499F5B11">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3.机要文书应亲自将密码电报送给阅者,随时送阅,随时收回,不准在办公室以外存放,不准以普通文件形式转发密电。严禁密电明复,明密混用,严禁复印密码电报。</w:t>
      </w:r>
    </w:p>
    <w:p w14:paraId="37B3C92C">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4.发送机要文件要由机要员专人负责,直接交给机要部门工作人员,不得让他人捎带,取回文件时要直接回单位,不得携带机要文件到他处逗留,以防丢失。</w:t>
      </w:r>
    </w:p>
    <w:p w14:paraId="5E039C83">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通讯保密</w:t>
      </w:r>
    </w:p>
    <w:p w14:paraId="00BF54D6">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1.使用电话传递信息时,要严格划分通讯内容的明密界限,不在无加密措施的电话中谈论涉密内容。</w:t>
      </w:r>
    </w:p>
    <w:p w14:paraId="65EE95F3">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2.严禁在无加密传真机上传递密件,传真机操作人要履行《传真机使用规定》,不得向无关人员泄露收发文件的内容。</w:t>
      </w:r>
    </w:p>
    <w:p w14:paraId="752B6926">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3.涉及密级的电子计算机应当配备电磁干扰等防辐射技术措施。</w:t>
      </w:r>
    </w:p>
    <w:p w14:paraId="3B3F6D2D">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不准通过普通邮政传递密级文件和资料。</w:t>
      </w:r>
    </w:p>
    <w:p w14:paraId="225BA4A8">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5.复印秘密文件、资料必须经办公室主任批准,将复印件视同原件一样管理。绝密文件、绝密资料一律不准复印。</w:t>
      </w:r>
    </w:p>
    <w:p w14:paraId="3C0E7BC9">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各科室不得自行将涉密废旧文件、资料出售给废品收购行业和个人,一律将其交办公室,统一到市保密部门指定的地点,由二人以上监销。</w:t>
      </w:r>
    </w:p>
    <w:p w14:paraId="197C11E4">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干部、职工有意或过失泄露国家秘密,视情节轻重,对直接责任者和负责人按《保密法》的规定给予行政处分;构成犯罪的,交由司法部门处理。</w:t>
      </w:r>
    </w:p>
    <w:p w14:paraId="724EF854">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领导干部要以身作则,带头执行保密法规和各项保密制度,保证党和国家秘密的安全。</w:t>
      </w:r>
    </w:p>
    <w:p w14:paraId="3A5C8C76">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秘密文件要在办公室阅办,不准带回家中,不要积压,不要横传,阅后及时退交文秘人员。</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领导同志,在家中阅办秘密文件,必须具备单独办公室和坚固的保密设施。</w:t>
      </w:r>
    </w:p>
    <w:p w14:paraId="693E5524">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第七条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保管好秘密文件,不要随便将文件堆放在办公桌上,离开办公室要把文件退回</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办公室,亲手交到文书手中。</w:t>
      </w:r>
    </w:p>
    <w:p w14:paraId="05CBA794">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第八条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不准在家属、子女和无关人员面前谈论党和国家秘密</w:t>
      </w:r>
      <w:r>
        <w:rPr>
          <w:rFonts w:hint="eastAsia" w:asciiTheme="minorEastAsia" w:hAnsiTheme="minorEastAsia" w:eastAsiaTheme="minorEastAsia" w:cstheme="minorEastAsia"/>
          <w:b w:val="0"/>
          <w:bCs w:val="0"/>
          <w:color w:val="auto"/>
          <w:sz w:val="24"/>
          <w:szCs w:val="24"/>
          <w:lang w:eastAsia="zh-CN"/>
        </w:rPr>
        <w:t>。</w:t>
      </w:r>
    </w:p>
    <w:p w14:paraId="6F53EC5D">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第九条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不准携带秘密文件外出,确因工作需要必须携带时,要指定专人或本人亲自管理。</w:t>
      </w:r>
    </w:p>
    <w:p w14:paraId="26FC48E0">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第十条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不准携带秘密文件参观、游览、探亲、访友或出入公共场所</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不准在普通电话、明码电报、私人通信中涉及党和国家的秘密</w:t>
      </w:r>
      <w:r>
        <w:rPr>
          <w:rFonts w:hint="eastAsia" w:asciiTheme="minorEastAsia" w:hAnsiTheme="minorEastAsia" w:eastAsiaTheme="minorEastAsia" w:cstheme="minorEastAsia"/>
          <w:b w:val="0"/>
          <w:bCs w:val="0"/>
          <w:color w:val="auto"/>
          <w:sz w:val="24"/>
          <w:szCs w:val="24"/>
          <w:lang w:eastAsia="zh-CN"/>
        </w:rPr>
        <w:t>。</w:t>
      </w:r>
    </w:p>
    <w:p w14:paraId="6CAC3DEA">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参加各种会议带回的秘密文件材料,要及时交办公室处理,不要擅自留存。需要传达时,须履行借阅手续。</w:t>
      </w:r>
    </w:p>
    <w:p w14:paraId="32B2C7AD">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发生泄密事件,要及时报告保密</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,以便迅速采取措施,认真追查处理。</w:t>
      </w:r>
    </w:p>
    <w:p w14:paraId="536444F4">
      <w:pPr>
        <w:pStyle w:val="8"/>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第十三条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p>
    <w:p w14:paraId="29C34C07">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2168" w:firstLineChars="600"/>
        <w:jc w:val="both"/>
        <w:textAlignment w:val="auto"/>
        <w:rPr>
          <w:rFonts w:hint="eastAsia" w:asciiTheme="minorEastAsia" w:hAnsiTheme="minorEastAsia" w:eastAsiaTheme="minorEastAsia" w:cstheme="minorEastAsia"/>
          <w:b/>
          <w:bCs/>
          <w:color w:val="auto"/>
          <w:sz w:val="36"/>
          <w:szCs w:val="36"/>
          <w:lang w:val="en-US" w:eastAsia="zh-CN"/>
        </w:rPr>
      </w:pPr>
    </w:p>
    <w:p w14:paraId="4A310E46">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bCs/>
          <w:color w:val="auto"/>
          <w:sz w:val="36"/>
          <w:szCs w:val="36"/>
          <w:lang w:val="en-US" w:eastAsia="zh-CN"/>
        </w:rPr>
      </w:pPr>
    </w:p>
    <w:p w14:paraId="1297BA42">
      <w:pPr>
        <w:pStyle w:val="3"/>
        <w:bidi w:val="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安全管理安全制度</w:t>
      </w:r>
    </w:p>
    <w:p w14:paraId="50F59786">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color w:val="auto"/>
          <w:sz w:val="24"/>
          <w:szCs w:val="24"/>
        </w:rPr>
        <w:t>为全面贯彻落实“安全第一,预防为主,综合治理”的方针,控制和减少各类安全事放,遏制重特大事故的发生,立足防范、落实责任、强化监管,</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rPr>
        <w:t>制定本制度。</w:t>
      </w:r>
    </w:p>
    <w:p w14:paraId="606046DB">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第一条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实行安全生产例会制度,每季度至少召开一次安全生产专题会议,研究解决本单位安全生产工作存在的问题</w:t>
      </w:r>
      <w:r>
        <w:rPr>
          <w:rFonts w:hint="eastAsia" w:asciiTheme="minorEastAsia" w:hAnsiTheme="minorEastAsia" w:eastAsiaTheme="minorEastAsia" w:cstheme="minorEastAsia"/>
          <w:b w:val="0"/>
          <w:bCs w:val="0"/>
          <w:color w:val="auto"/>
          <w:sz w:val="24"/>
          <w:szCs w:val="24"/>
          <w:lang w:eastAsia="zh-CN"/>
        </w:rPr>
        <w:t>。</w:t>
      </w:r>
    </w:p>
    <w:p w14:paraId="6A4DC3A9">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第二条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各科室要定期排查安全隐患,落实隐患治理责任,强化隐患整改措施,及时向分管领导汇报。</w:t>
      </w:r>
    </w:p>
    <w:p w14:paraId="1FB8F328">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现安全事故应及时、如实报告,否则按照国务院493号令依法追究相关责任。</w:t>
      </w:r>
    </w:p>
    <w:p w14:paraId="632B5D1A">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严格用火用电的管理,办公室内不准私接电源、乱扯电线和使用电取暖用具。</w:t>
      </w:r>
    </w:p>
    <w:p w14:paraId="4650B0ED">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2"/>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增强安全保卫意识,离开办公室及时关闭水源、电源及用电器,锁门关窗。</w:t>
      </w:r>
    </w:p>
    <w:p w14:paraId="6D7574B3">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2"/>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建立安全事故报告制度,事故现场第一人要及时向领导汇报事故情况,不得迟报、瞒报。</w:t>
      </w:r>
    </w:p>
    <w:p w14:paraId="0ABCE72E">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第七条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机关内水、电管线,任何人不可随意更改、私搭乱接。</w:t>
      </w:r>
    </w:p>
    <w:p w14:paraId="506F0A5A">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lang w:eastAsia="zh-CN"/>
        </w:rPr>
        <w:t>第八条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严禁直接接触室外亮化系统等电气设备电源,以免发生安全事故。</w:t>
      </w:r>
    </w:p>
    <w:p w14:paraId="396230A7">
      <w:pPr>
        <w:pageBreakBefore w:val="0"/>
        <w:widowControl/>
        <w:kinsoku/>
        <w:wordWrap/>
        <w:overflowPunct/>
        <w:topLinePunct w:val="0"/>
        <w:autoSpaceDE/>
        <w:autoSpaceDN/>
        <w:bidi w:val="0"/>
        <w:adjustRightInd/>
        <w:spacing w:line="580" w:lineRule="exact"/>
        <w:ind w:firstLine="480" w:firstLineChars="200"/>
        <w:jc w:val="both"/>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第九条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p>
    <w:p w14:paraId="729BA2AD">
      <w:pPr>
        <w:pStyle w:val="3"/>
        <w:bidi w:val="0"/>
        <w:rPr>
          <w:rFonts w:hint="eastAsia" w:asciiTheme="minorEastAsia" w:hAnsiTheme="minorEastAsia" w:eastAsiaTheme="minorEastAsia" w:cstheme="minorEastAsia"/>
          <w:b/>
          <w:bCs/>
        </w:rPr>
      </w:pPr>
    </w:p>
    <w:p w14:paraId="208037D8">
      <w:pPr>
        <w:pStyle w:val="3"/>
        <w:bidi w:val="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请销假制度</w:t>
      </w:r>
    </w:p>
    <w:p w14:paraId="0AE1B95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为切实转变工作作风，规范工作人员的行为，严肃请销假纪律，提高工作效率，</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rPr>
        <w:t>制定本制度。 </w:t>
      </w:r>
    </w:p>
    <w:p w14:paraId="50D2124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第一条 审批程序 </w:t>
      </w:r>
    </w:p>
    <w:p w14:paraId="6B9FE123">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坚持事先请假、事后销假、分级负责、严格管理和按规定权限、程序审批的原则，请假应以书面请假为主，特殊紧急情况来不及书面请假的，应先打电话请假，后补办书面请假手续。 </w:t>
      </w:r>
    </w:p>
    <w:p w14:paraId="241527C4">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单位领导班子副职请假，经单位主要领导同意。</w:t>
      </w:r>
    </w:p>
    <w:p w14:paraId="37CBA44C">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科</w:t>
      </w:r>
      <w:r>
        <w:rPr>
          <w:rFonts w:hint="eastAsia" w:asciiTheme="minorEastAsia" w:hAnsiTheme="minorEastAsia" w:eastAsiaTheme="minorEastAsia" w:cstheme="minorEastAsia"/>
          <w:b w:val="0"/>
          <w:bCs w:val="0"/>
          <w:color w:val="auto"/>
          <w:sz w:val="24"/>
          <w:szCs w:val="24"/>
          <w:lang w:eastAsia="zh-CN"/>
        </w:rPr>
        <w:t>室负责人</w:t>
      </w:r>
      <w:r>
        <w:rPr>
          <w:rFonts w:hint="eastAsia" w:asciiTheme="minorEastAsia" w:hAnsiTheme="minorEastAsia" w:eastAsiaTheme="minorEastAsia" w:cstheme="minorEastAsia"/>
          <w:b w:val="0"/>
          <w:bCs w:val="0"/>
          <w:color w:val="auto"/>
          <w:sz w:val="24"/>
          <w:szCs w:val="24"/>
        </w:rPr>
        <w:t>病、事假在</w:t>
      </w:r>
      <w:r>
        <w:rPr>
          <w:rFonts w:hint="eastAsia" w:asciiTheme="minorEastAsia" w:hAnsiTheme="minorEastAsia" w:eastAsiaTheme="minorEastAsia" w:cstheme="minorEastAsia"/>
          <w:b w:val="0"/>
          <w:bCs w:val="0"/>
          <w:color w:val="auto"/>
          <w:sz w:val="24"/>
          <w:szCs w:val="24"/>
          <w:lang w:val="en-GB"/>
        </w:rPr>
        <w:t>1</w:t>
      </w:r>
      <w:r>
        <w:rPr>
          <w:rFonts w:hint="eastAsia" w:asciiTheme="minorEastAsia" w:hAnsiTheme="minorEastAsia" w:eastAsiaTheme="minorEastAsia" w:cstheme="minorEastAsia"/>
          <w:b w:val="0"/>
          <w:bCs w:val="0"/>
          <w:color w:val="auto"/>
          <w:sz w:val="24"/>
          <w:szCs w:val="24"/>
        </w:rPr>
        <w:t>天以</w:t>
      </w:r>
      <w:r>
        <w:rPr>
          <w:rFonts w:hint="eastAsia" w:asciiTheme="minorEastAsia" w:hAnsiTheme="minorEastAsia" w:eastAsiaTheme="minorEastAsia" w:cstheme="minorEastAsia"/>
          <w:b w:val="0"/>
          <w:bCs w:val="0"/>
          <w:color w:val="auto"/>
          <w:sz w:val="24"/>
          <w:szCs w:val="24"/>
          <w:lang w:val="en-US" w:eastAsia="zh-CN"/>
        </w:rPr>
        <w:t>上</w:t>
      </w:r>
      <w:r>
        <w:rPr>
          <w:rFonts w:hint="eastAsia" w:asciiTheme="minorEastAsia" w:hAnsiTheme="minorEastAsia" w:eastAsiaTheme="minorEastAsia" w:cstheme="minorEastAsia"/>
          <w:b w:val="0"/>
          <w:bCs w:val="0"/>
          <w:color w:val="auto"/>
          <w:sz w:val="24"/>
          <w:szCs w:val="24"/>
        </w:rPr>
        <w:t>的，报局分管领导批准；</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天及以上，经局分管领导同意，报主要领导批准。 </w:t>
      </w:r>
    </w:p>
    <w:p w14:paraId="36A2707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一般工作人员病、事假1天以内的由科室负责人批准；</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天</w:t>
      </w:r>
      <w:r>
        <w:rPr>
          <w:rFonts w:hint="eastAsia" w:asciiTheme="minorEastAsia" w:hAnsiTheme="minorEastAsia" w:eastAsiaTheme="minorEastAsia" w:cstheme="minorEastAsia"/>
          <w:b w:val="0"/>
          <w:bCs w:val="0"/>
          <w:color w:val="auto"/>
          <w:sz w:val="24"/>
          <w:szCs w:val="24"/>
          <w:lang w:val="en-US" w:eastAsia="zh-CN"/>
        </w:rPr>
        <w:t>及2天</w:t>
      </w:r>
      <w:r>
        <w:rPr>
          <w:rFonts w:hint="eastAsia" w:asciiTheme="minorEastAsia" w:hAnsiTheme="minorEastAsia" w:eastAsiaTheme="minorEastAsia" w:cstheme="minorEastAsia"/>
          <w:b w:val="0"/>
          <w:bCs w:val="0"/>
          <w:color w:val="auto"/>
          <w:sz w:val="24"/>
          <w:szCs w:val="24"/>
        </w:rPr>
        <w:t>以上的由分管局长批准。 </w:t>
      </w:r>
    </w:p>
    <w:p w14:paraId="2199A106">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单位干部职工探亲假、婚丧假、产假、带薪年休假等假期，按照相关法律法规规定执行。 </w:t>
      </w:r>
    </w:p>
    <w:p w14:paraId="11286CCB">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二</w:t>
      </w:r>
      <w:r>
        <w:rPr>
          <w:rFonts w:hint="eastAsia" w:asciiTheme="minorEastAsia" w:hAnsiTheme="minorEastAsia" w:eastAsiaTheme="minorEastAsia" w:cstheme="minorEastAsia"/>
          <w:b w:val="0"/>
          <w:bCs w:val="0"/>
          <w:color w:val="auto"/>
          <w:sz w:val="24"/>
          <w:szCs w:val="24"/>
        </w:rPr>
        <w:t>条 纪律要求 </w:t>
      </w:r>
    </w:p>
    <w:p w14:paraId="1FF97217">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工作人员请假需</w:t>
      </w:r>
      <w:r>
        <w:rPr>
          <w:rFonts w:hint="eastAsia" w:asciiTheme="minorEastAsia" w:hAnsiTheme="minorEastAsia" w:eastAsiaTheme="minorEastAsia" w:cstheme="minorEastAsia"/>
          <w:b w:val="0"/>
          <w:bCs w:val="0"/>
          <w:color w:val="auto"/>
          <w:sz w:val="24"/>
          <w:szCs w:val="24"/>
          <w:lang w:eastAsia="zh-CN"/>
        </w:rPr>
        <w:t>在</w:t>
      </w:r>
      <w:r>
        <w:rPr>
          <w:rFonts w:hint="eastAsia" w:asciiTheme="minorEastAsia" w:hAnsiTheme="minorEastAsia" w:eastAsiaTheme="minorEastAsia" w:cstheme="minorEastAsia"/>
          <w:b w:val="0"/>
          <w:bCs w:val="0"/>
          <w:color w:val="auto"/>
          <w:sz w:val="24"/>
          <w:szCs w:val="24"/>
        </w:rPr>
        <w:t>《请销假</w:t>
      </w:r>
      <w:r>
        <w:rPr>
          <w:rFonts w:hint="eastAsia" w:asciiTheme="minorEastAsia" w:hAnsiTheme="minorEastAsia" w:eastAsiaTheme="minorEastAsia" w:cstheme="minorEastAsia"/>
          <w:b w:val="0"/>
          <w:bCs w:val="0"/>
          <w:color w:val="auto"/>
          <w:sz w:val="24"/>
          <w:szCs w:val="24"/>
          <w:lang w:eastAsia="zh-CN"/>
        </w:rPr>
        <w:t>登记簿</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进行登记</w:t>
      </w:r>
      <w:r>
        <w:rPr>
          <w:rFonts w:hint="eastAsia" w:asciiTheme="minorEastAsia" w:hAnsiTheme="minorEastAsia" w:eastAsiaTheme="minorEastAsia" w:cstheme="minorEastAsia"/>
          <w:b w:val="0"/>
          <w:bCs w:val="0"/>
          <w:color w:val="auto"/>
          <w:sz w:val="24"/>
          <w:szCs w:val="24"/>
        </w:rPr>
        <w:t>。 </w:t>
      </w:r>
    </w:p>
    <w:p w14:paraId="3527E71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工作人员请假外出期间，因特殊原因不能按时返回的，需通过电话直接向审批人说明情况，由审批人决定是否延假及延假期限。  </w:t>
      </w:r>
    </w:p>
    <w:p w14:paraId="3ACC03EE">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请假人须在假期期满的次日内向审批人当面销假或电话销假。 </w:t>
      </w:r>
    </w:p>
    <w:p w14:paraId="43B14DA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有下列情形之一的，认定为旷工： </w:t>
      </w:r>
    </w:p>
    <w:p w14:paraId="7C661A69">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未请假或请假未获得批准离开工作岗位的。 </w:t>
      </w:r>
    </w:p>
    <w:p w14:paraId="17323D6C">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请假期满未延假或延假未获得批准逾期不到岗的。 </w:t>
      </w:r>
    </w:p>
    <w:p w14:paraId="32BD5634">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不服从工作安排或不按时到岗工作的。 </w:t>
      </w:r>
    </w:p>
    <w:p w14:paraId="5266239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三</w:t>
      </w:r>
      <w:r>
        <w:rPr>
          <w:rFonts w:hint="eastAsia" w:asciiTheme="minorEastAsia" w:hAnsiTheme="minorEastAsia" w:eastAsiaTheme="minorEastAsia" w:cstheme="minorEastAsia"/>
          <w:b w:val="0"/>
          <w:bCs w:val="0"/>
          <w:color w:val="auto"/>
          <w:sz w:val="24"/>
          <w:szCs w:val="24"/>
        </w:rPr>
        <w:t>条 责任追究 </w:t>
      </w:r>
    </w:p>
    <w:p w14:paraId="1AE3336D">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工作人员当年旷工或因公外出、请假期满无正当理由逾期未到岗，连续超过15天或累计超过30天，其当年的年度考核定为不称职等次。 </w:t>
      </w:r>
    </w:p>
    <w:p w14:paraId="144E63F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工作人员无故旷工连续超过15天，或者一年内累计超过30天的，按照</w:t>
      </w:r>
      <w:r>
        <w:rPr>
          <w:rFonts w:hint="eastAsia" w:asciiTheme="minorEastAsia" w:hAnsiTheme="minorEastAsia" w:eastAsiaTheme="minorEastAsia" w:cstheme="minorEastAsia"/>
          <w:b w:val="0"/>
          <w:bCs w:val="0"/>
          <w:color w:val="auto"/>
          <w:sz w:val="24"/>
          <w:szCs w:val="24"/>
          <w:lang w:eastAsia="zh-CN"/>
        </w:rPr>
        <w:t>有关规定进行</w:t>
      </w:r>
      <w:r>
        <w:rPr>
          <w:rFonts w:hint="eastAsia" w:asciiTheme="minorEastAsia" w:hAnsiTheme="minorEastAsia" w:eastAsiaTheme="minorEastAsia" w:cstheme="minorEastAsia"/>
          <w:b w:val="0"/>
          <w:bCs w:val="0"/>
          <w:color w:val="auto"/>
          <w:sz w:val="24"/>
          <w:szCs w:val="24"/>
        </w:rPr>
        <w:t>处理。</w:t>
      </w:r>
    </w:p>
    <w:p w14:paraId="5B79AEAD">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请事假累计超过三个月不到六个月的工作人员，年度不进行考核，超过六个月的确定为不称职等次，连续两年被确定为不称职等次的，予以辞退。 </w:t>
      </w:r>
    </w:p>
    <w:p w14:paraId="153CC539">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第四条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p>
    <w:p w14:paraId="2B01553E">
      <w:pPr>
        <w:pStyle w:val="14"/>
        <w:pageBreakBefore w:val="0"/>
        <w:kinsoku/>
        <w:wordWrap/>
        <w:overflowPunct/>
        <w:topLinePunct w:val="0"/>
        <w:autoSpaceDE/>
        <w:autoSpaceDN/>
        <w:bidi w:val="0"/>
        <w:adjustRightInd/>
        <w:spacing w:before="0" w:beforeAutospacing="0" w:after="0" w:afterAutospacing="0"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p>
    <w:p w14:paraId="5041D4A0">
      <w:pPr>
        <w:pStyle w:val="14"/>
        <w:pageBreakBefore w:val="0"/>
        <w:kinsoku/>
        <w:wordWrap/>
        <w:overflowPunct/>
        <w:topLinePunct w:val="0"/>
        <w:autoSpaceDE/>
        <w:autoSpaceDN/>
        <w:bidi w:val="0"/>
        <w:adjustRightInd/>
        <w:spacing w:before="0" w:beforeAutospacing="0" w:after="0" w:afterAutospacing="0"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p>
    <w:p w14:paraId="7D7A65A7">
      <w:pPr>
        <w:pStyle w:val="14"/>
        <w:pageBreakBefore w:val="0"/>
        <w:kinsoku/>
        <w:wordWrap/>
        <w:overflowPunct/>
        <w:topLinePunct w:val="0"/>
        <w:autoSpaceDE/>
        <w:autoSpaceDN/>
        <w:bidi w:val="0"/>
        <w:adjustRightInd/>
        <w:spacing w:before="0" w:beforeAutospacing="0" w:after="0" w:afterAutospacing="0"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p>
    <w:p w14:paraId="10F9AA64">
      <w:pPr>
        <w:pStyle w:val="7"/>
        <w:rPr>
          <w:rFonts w:hint="eastAsia" w:asciiTheme="minorEastAsia" w:hAnsiTheme="minorEastAsia" w:eastAsiaTheme="minorEastAsia" w:cstheme="minorEastAsia"/>
          <w:b/>
          <w:bCs/>
          <w:color w:val="auto"/>
          <w:sz w:val="36"/>
          <w:szCs w:val="36"/>
        </w:rPr>
      </w:pPr>
    </w:p>
    <w:p w14:paraId="58444296">
      <w:pPr>
        <w:rPr>
          <w:rFonts w:hint="eastAsia" w:asciiTheme="minorEastAsia" w:hAnsiTheme="minorEastAsia" w:eastAsiaTheme="minorEastAsia" w:cstheme="minorEastAsia"/>
          <w:b/>
          <w:bCs/>
          <w:color w:val="auto"/>
          <w:sz w:val="36"/>
          <w:szCs w:val="36"/>
        </w:rPr>
      </w:pPr>
    </w:p>
    <w:p w14:paraId="36893791">
      <w:pPr>
        <w:pStyle w:val="2"/>
        <w:rPr>
          <w:rFonts w:hint="eastAsia" w:asciiTheme="minorEastAsia" w:hAnsiTheme="minorEastAsia" w:eastAsiaTheme="minorEastAsia" w:cstheme="minorEastAsia"/>
          <w:b/>
          <w:bCs/>
          <w:color w:val="auto"/>
          <w:sz w:val="36"/>
          <w:szCs w:val="36"/>
        </w:rPr>
      </w:pPr>
    </w:p>
    <w:p w14:paraId="6C3D38E7">
      <w:pPr>
        <w:rPr>
          <w:rFonts w:hint="eastAsia" w:asciiTheme="minorEastAsia" w:hAnsiTheme="minorEastAsia" w:eastAsiaTheme="minorEastAsia" w:cstheme="minorEastAsia"/>
          <w:b/>
          <w:bCs/>
          <w:color w:val="auto"/>
          <w:sz w:val="36"/>
          <w:szCs w:val="36"/>
        </w:rPr>
      </w:pPr>
    </w:p>
    <w:p w14:paraId="69174074">
      <w:pPr>
        <w:pStyle w:val="2"/>
        <w:rPr>
          <w:rFonts w:hint="eastAsia" w:asciiTheme="minorEastAsia" w:hAnsiTheme="minorEastAsia" w:eastAsiaTheme="minorEastAsia" w:cstheme="minorEastAsia"/>
          <w:b/>
          <w:bCs/>
          <w:color w:val="auto"/>
          <w:sz w:val="36"/>
          <w:szCs w:val="36"/>
        </w:rPr>
      </w:pPr>
    </w:p>
    <w:p w14:paraId="077DE318">
      <w:pPr>
        <w:rPr>
          <w:rFonts w:hint="eastAsia"/>
        </w:rPr>
      </w:pPr>
    </w:p>
    <w:p w14:paraId="39547EA9">
      <w:pPr>
        <w:pStyle w:val="14"/>
        <w:pageBreakBefore w:val="0"/>
        <w:kinsoku/>
        <w:wordWrap/>
        <w:overflowPunct/>
        <w:topLinePunct w:val="0"/>
        <w:autoSpaceDE/>
        <w:autoSpaceDN/>
        <w:bidi w:val="0"/>
        <w:adjustRightInd/>
        <w:spacing w:before="0" w:beforeAutospacing="0" w:after="0" w:afterAutospacing="0" w:line="580" w:lineRule="exact"/>
        <w:jc w:val="both"/>
        <w:textAlignment w:val="auto"/>
        <w:rPr>
          <w:rFonts w:hint="eastAsia" w:asciiTheme="minorEastAsia" w:hAnsiTheme="minorEastAsia" w:eastAsiaTheme="minorEastAsia" w:cstheme="minorEastAsia"/>
          <w:b/>
          <w:bCs/>
          <w:color w:val="auto"/>
          <w:sz w:val="36"/>
          <w:szCs w:val="36"/>
        </w:rPr>
      </w:pPr>
    </w:p>
    <w:p w14:paraId="4DC9B53A">
      <w:pPr>
        <w:pStyle w:val="14"/>
        <w:pageBreakBefore w:val="0"/>
        <w:kinsoku/>
        <w:wordWrap/>
        <w:overflowPunct/>
        <w:topLinePunct w:val="0"/>
        <w:autoSpaceDE/>
        <w:autoSpaceDN/>
        <w:bidi w:val="0"/>
        <w:adjustRightInd/>
        <w:spacing w:before="0" w:beforeAutospacing="0" w:after="0" w:afterAutospacing="0" w:line="580" w:lineRule="exact"/>
        <w:ind w:left="0" w:firstLine="1807" w:firstLineChars="500"/>
        <w:jc w:val="both"/>
        <w:textAlignment w:val="auto"/>
        <w:rPr>
          <w:rFonts w:hint="eastAsia" w:asciiTheme="minorEastAsia" w:hAnsiTheme="minorEastAsia" w:eastAsiaTheme="minorEastAsia" w:cstheme="minorEastAsia"/>
          <w:b/>
          <w:bCs/>
          <w:color w:val="auto"/>
          <w:sz w:val="36"/>
          <w:szCs w:val="36"/>
        </w:rPr>
      </w:pPr>
    </w:p>
    <w:p w14:paraId="160E4CC3">
      <w:pPr>
        <w:pStyle w:val="3"/>
        <w:bidi w:val="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干部人事档案管理制度</w:t>
      </w:r>
    </w:p>
    <w:p w14:paraId="31B3A2FA">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为了加强档案工作的管理，根据有关文件的要求，</w:t>
      </w:r>
      <w:r>
        <w:rPr>
          <w:rFonts w:hint="eastAsia" w:asciiTheme="minorEastAsia" w:hAnsiTheme="minorEastAsia" w:eastAsiaTheme="minorEastAsia" w:cstheme="minorEastAsia"/>
          <w:b w:val="0"/>
          <w:bCs w:val="0"/>
          <w:color w:val="auto"/>
          <w:sz w:val="24"/>
          <w:szCs w:val="24"/>
          <w:lang w:val="en-US" w:eastAsia="zh-CN"/>
        </w:rPr>
        <w:t>结合白城市医疗保障局工作实际，</w:t>
      </w:r>
      <w:r>
        <w:rPr>
          <w:rFonts w:hint="eastAsia" w:asciiTheme="minorEastAsia" w:hAnsiTheme="minorEastAsia" w:eastAsiaTheme="minorEastAsia" w:cstheme="minorEastAsia"/>
          <w:b w:val="0"/>
          <w:bCs w:val="0"/>
          <w:color w:val="auto"/>
          <w:sz w:val="24"/>
          <w:szCs w:val="24"/>
          <w:lang w:eastAsia="zh-CN"/>
        </w:rPr>
        <w:t>制定本制度。</w:t>
      </w:r>
    </w:p>
    <w:p w14:paraId="4560262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第一条 档案管理工作职责。</w:t>
      </w:r>
    </w:p>
    <w:p w14:paraId="7446F13B">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保管干部人事档案,为国家积累档案史料</w:t>
      </w:r>
      <w:r>
        <w:rPr>
          <w:rFonts w:hint="eastAsia" w:asciiTheme="minorEastAsia" w:hAnsiTheme="minorEastAsia" w:eastAsiaTheme="minorEastAsia" w:cstheme="minorEastAsia"/>
          <w:b w:val="0"/>
          <w:bCs w:val="0"/>
          <w:color w:val="auto"/>
          <w:sz w:val="24"/>
          <w:szCs w:val="24"/>
          <w:lang w:eastAsia="zh-CN"/>
        </w:rPr>
        <w:t>。</w:t>
      </w:r>
    </w:p>
    <w:p w14:paraId="5AD81188">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收集、鉴别和整理干部人事档案材料</w:t>
      </w:r>
      <w:r>
        <w:rPr>
          <w:rFonts w:hint="eastAsia" w:asciiTheme="minorEastAsia" w:hAnsiTheme="minorEastAsia" w:eastAsiaTheme="minorEastAsia" w:cstheme="minorEastAsia"/>
          <w:b w:val="0"/>
          <w:bCs w:val="0"/>
          <w:color w:val="auto"/>
          <w:sz w:val="24"/>
          <w:szCs w:val="24"/>
          <w:lang w:eastAsia="zh-CN"/>
        </w:rPr>
        <w:t>。</w:t>
      </w:r>
    </w:p>
    <w:p w14:paraId="1A49BC1A">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办理干部人事档案的查阅、借用和转递</w:t>
      </w:r>
      <w:r>
        <w:rPr>
          <w:rFonts w:hint="eastAsia" w:asciiTheme="minorEastAsia" w:hAnsiTheme="minorEastAsia" w:eastAsiaTheme="minorEastAsia" w:cstheme="minorEastAsia"/>
          <w:b w:val="0"/>
          <w:bCs w:val="0"/>
          <w:color w:val="auto"/>
          <w:sz w:val="24"/>
          <w:szCs w:val="24"/>
          <w:lang w:eastAsia="zh-CN"/>
        </w:rPr>
        <w:t>。</w:t>
      </w:r>
    </w:p>
    <w:p w14:paraId="7962547E">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登记干部职务、工资的变动情况</w:t>
      </w:r>
      <w:r>
        <w:rPr>
          <w:rFonts w:hint="eastAsia" w:asciiTheme="minorEastAsia" w:hAnsiTheme="minorEastAsia" w:eastAsiaTheme="minorEastAsia" w:cstheme="minorEastAsia"/>
          <w:b w:val="0"/>
          <w:bCs w:val="0"/>
          <w:color w:val="auto"/>
          <w:sz w:val="24"/>
          <w:szCs w:val="24"/>
          <w:lang w:eastAsia="zh-CN"/>
        </w:rPr>
        <w:t>。</w:t>
      </w:r>
    </w:p>
    <w:p w14:paraId="61C73863">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为有关部门提供干部的情况</w:t>
      </w:r>
      <w:r>
        <w:rPr>
          <w:rFonts w:hint="eastAsia" w:asciiTheme="minorEastAsia" w:hAnsiTheme="minorEastAsia" w:eastAsiaTheme="minorEastAsia" w:cstheme="minorEastAsia"/>
          <w:b w:val="0"/>
          <w:bCs w:val="0"/>
          <w:color w:val="auto"/>
          <w:sz w:val="24"/>
          <w:szCs w:val="24"/>
          <w:lang w:eastAsia="zh-CN"/>
        </w:rPr>
        <w:t>。</w:t>
      </w:r>
    </w:p>
    <w:p w14:paraId="2DE3E153">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做好干部人事档案的安全、保密、保管与保护工作</w:t>
      </w:r>
      <w:r>
        <w:rPr>
          <w:rFonts w:hint="eastAsia" w:asciiTheme="minorEastAsia" w:hAnsiTheme="minorEastAsia" w:eastAsiaTheme="minorEastAsia" w:cstheme="minorEastAsia"/>
          <w:b w:val="0"/>
          <w:bCs w:val="0"/>
          <w:color w:val="auto"/>
          <w:sz w:val="24"/>
          <w:szCs w:val="24"/>
          <w:lang w:eastAsia="zh-CN"/>
        </w:rPr>
        <w:t>。</w:t>
      </w:r>
    </w:p>
    <w:p w14:paraId="77507913">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调査研究干部人事档案工作情况,制定规章制度</w:t>
      </w:r>
      <w:r>
        <w:rPr>
          <w:rFonts w:hint="eastAsia" w:asciiTheme="minorEastAsia" w:hAnsiTheme="minorEastAsia" w:eastAsiaTheme="minorEastAsia" w:cstheme="minorEastAsia"/>
          <w:b w:val="0"/>
          <w:bCs w:val="0"/>
          <w:color w:val="auto"/>
          <w:sz w:val="24"/>
          <w:szCs w:val="24"/>
          <w:lang w:eastAsia="zh-CN"/>
        </w:rPr>
        <w:t>。</w:t>
      </w:r>
    </w:p>
    <w:p w14:paraId="53E251A4">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部人事档案</w:t>
      </w:r>
      <w:r>
        <w:rPr>
          <w:rFonts w:hint="eastAsia" w:asciiTheme="minorEastAsia" w:hAnsiTheme="minorEastAsia" w:eastAsiaTheme="minorEastAsia" w:cstheme="minorEastAsia"/>
          <w:b w:val="0"/>
          <w:bCs w:val="0"/>
          <w:color w:val="auto"/>
          <w:sz w:val="24"/>
          <w:szCs w:val="24"/>
          <w:lang w:eastAsia="zh-CN"/>
        </w:rPr>
        <w:t>要坚持</w:t>
      </w:r>
      <w:r>
        <w:rPr>
          <w:rFonts w:hint="eastAsia" w:asciiTheme="minorEastAsia" w:hAnsiTheme="minorEastAsia" w:eastAsiaTheme="minorEastAsia" w:cstheme="minorEastAsia"/>
          <w:b w:val="0"/>
          <w:bCs w:val="0"/>
          <w:color w:val="auto"/>
          <w:sz w:val="24"/>
          <w:szCs w:val="24"/>
        </w:rPr>
        <w:t>现代化管理技术</w:t>
      </w:r>
      <w:r>
        <w:rPr>
          <w:rFonts w:hint="eastAsia" w:asciiTheme="minorEastAsia" w:hAnsiTheme="minorEastAsia" w:eastAsiaTheme="minorEastAsia" w:cstheme="minorEastAsia"/>
          <w:b w:val="0"/>
          <w:bCs w:val="0"/>
          <w:color w:val="auto"/>
          <w:sz w:val="24"/>
          <w:szCs w:val="24"/>
          <w:lang w:eastAsia="zh-CN"/>
        </w:rPr>
        <w:t>。</w:t>
      </w:r>
    </w:p>
    <w:p w14:paraId="3E28C4DA">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办理领导交办的其他事项。</w:t>
      </w:r>
    </w:p>
    <w:p w14:paraId="585B6346">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第</w:t>
      </w:r>
      <w:r>
        <w:rPr>
          <w:rFonts w:hint="eastAsia" w:asciiTheme="minorEastAsia" w:hAnsiTheme="minorEastAsia" w:eastAsiaTheme="minorEastAsia" w:cstheme="minorEastAsia"/>
          <w:b w:val="0"/>
          <w:bCs w:val="0"/>
          <w:color w:val="auto"/>
          <w:sz w:val="24"/>
          <w:szCs w:val="24"/>
          <w:lang w:eastAsia="zh-CN"/>
        </w:rPr>
        <w:t>二</w:t>
      </w:r>
      <w:r>
        <w:rPr>
          <w:rFonts w:hint="eastAsia" w:asciiTheme="minorEastAsia" w:hAnsiTheme="minorEastAsia" w:eastAsiaTheme="minorEastAsia" w:cstheme="minorEastAsia"/>
          <w:b w:val="0"/>
          <w:bCs w:val="0"/>
          <w:color w:val="auto"/>
          <w:sz w:val="24"/>
          <w:szCs w:val="24"/>
        </w:rPr>
        <w:t>条 档案管理工作人员守则。</w:t>
      </w:r>
    </w:p>
    <w:p w14:paraId="254F525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坚持四项基本原则,及党的各项方针政策,努力提高政治思想水平</w:t>
      </w:r>
      <w:r>
        <w:rPr>
          <w:rFonts w:hint="eastAsia" w:asciiTheme="minorEastAsia" w:hAnsiTheme="minorEastAsia" w:eastAsiaTheme="minorEastAsia" w:cstheme="minorEastAsia"/>
          <w:b w:val="0"/>
          <w:bCs w:val="0"/>
          <w:color w:val="auto"/>
          <w:sz w:val="24"/>
          <w:szCs w:val="24"/>
          <w:lang w:eastAsia="zh-CN"/>
        </w:rPr>
        <w:t>。</w:t>
      </w:r>
    </w:p>
    <w:p w14:paraId="2E5EABBA">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热爱本职工作,忠于职守,刻苦钻研业务,不断提高业务水平和工作能力,积极为干部人事工作服务</w:t>
      </w:r>
      <w:r>
        <w:rPr>
          <w:rFonts w:hint="eastAsia" w:asciiTheme="minorEastAsia" w:hAnsiTheme="minorEastAsia" w:eastAsiaTheme="minorEastAsia" w:cstheme="minorEastAsia"/>
          <w:b w:val="0"/>
          <w:bCs w:val="0"/>
          <w:color w:val="auto"/>
          <w:sz w:val="24"/>
          <w:szCs w:val="24"/>
          <w:lang w:eastAsia="zh-CN"/>
        </w:rPr>
        <w:t>。</w:t>
      </w:r>
    </w:p>
    <w:p w14:paraId="3E9E959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严格遵守《中华人民共和国档案法》、《干部档案工作条例》和保密规定,不得泄露档案机密</w:t>
      </w:r>
      <w:r>
        <w:rPr>
          <w:rFonts w:hint="eastAsia" w:asciiTheme="minorEastAsia" w:hAnsiTheme="minorEastAsia" w:eastAsiaTheme="minorEastAsia" w:cstheme="minorEastAsia"/>
          <w:b w:val="0"/>
          <w:bCs w:val="0"/>
          <w:color w:val="auto"/>
          <w:sz w:val="24"/>
          <w:szCs w:val="24"/>
          <w:lang w:eastAsia="zh-CN"/>
        </w:rPr>
        <w:t>。</w:t>
      </w:r>
    </w:p>
    <w:p w14:paraId="4BE4004D">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保护档案的安全,不得擅自转移、分散和销毁档案</w:t>
      </w:r>
      <w:r>
        <w:rPr>
          <w:rFonts w:hint="eastAsia" w:asciiTheme="minorEastAsia" w:hAnsiTheme="minorEastAsia" w:eastAsiaTheme="minorEastAsia" w:cstheme="minorEastAsia"/>
          <w:b w:val="0"/>
          <w:bCs w:val="0"/>
          <w:color w:val="auto"/>
          <w:sz w:val="24"/>
          <w:szCs w:val="24"/>
          <w:lang w:eastAsia="zh-CN"/>
        </w:rPr>
        <w:t>。</w:t>
      </w:r>
    </w:p>
    <w:p w14:paraId="27D1C8E9">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坚持原则,严格按照档案管理工作的各项</w:t>
      </w:r>
      <w:r>
        <w:rPr>
          <w:rFonts w:hint="eastAsia" w:asciiTheme="minorEastAsia" w:hAnsiTheme="minorEastAsia" w:eastAsiaTheme="minorEastAsia" w:cstheme="minorEastAsia"/>
          <w:b w:val="0"/>
          <w:bCs w:val="0"/>
          <w:color w:val="auto"/>
          <w:sz w:val="24"/>
          <w:szCs w:val="24"/>
          <w:lang w:eastAsia="zh-CN"/>
        </w:rPr>
        <w:t>规章</w:t>
      </w:r>
      <w:r>
        <w:rPr>
          <w:rFonts w:hint="eastAsia" w:asciiTheme="minorEastAsia" w:hAnsiTheme="minorEastAsia" w:eastAsiaTheme="minorEastAsia" w:cstheme="minorEastAsia"/>
          <w:b w:val="0"/>
          <w:bCs w:val="0"/>
          <w:color w:val="auto"/>
          <w:sz w:val="24"/>
          <w:szCs w:val="24"/>
        </w:rPr>
        <w:t>制度办事。</w:t>
      </w:r>
    </w:p>
    <w:p w14:paraId="65EAAEE7">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第三条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档案及档案材料的收集管理范围。按照干部管理权限,</w:t>
      </w:r>
      <w:r>
        <w:rPr>
          <w:rFonts w:hint="eastAsia" w:asciiTheme="minorEastAsia" w:hAnsiTheme="minorEastAsia" w:eastAsiaTheme="minorEastAsia" w:cstheme="minorEastAsia"/>
          <w:b w:val="0"/>
          <w:bCs w:val="0"/>
          <w:color w:val="auto"/>
          <w:sz w:val="24"/>
          <w:szCs w:val="24"/>
          <w:lang w:eastAsia="zh-CN"/>
        </w:rPr>
        <w:t>局</w:t>
      </w:r>
      <w:r>
        <w:rPr>
          <w:rFonts w:hint="eastAsia" w:asciiTheme="minorEastAsia" w:hAnsiTheme="minorEastAsia" w:eastAsiaTheme="minorEastAsia" w:cstheme="minorEastAsia"/>
          <w:b w:val="0"/>
          <w:bCs w:val="0"/>
          <w:color w:val="auto"/>
          <w:sz w:val="24"/>
          <w:szCs w:val="24"/>
        </w:rPr>
        <w:t>机关</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负责集中管理</w:t>
      </w:r>
      <w:r>
        <w:rPr>
          <w:rFonts w:hint="eastAsia" w:asciiTheme="minorEastAsia" w:hAnsiTheme="minorEastAsia" w:eastAsiaTheme="minorEastAsia" w:cstheme="minorEastAsia"/>
          <w:b w:val="0"/>
          <w:bCs w:val="0"/>
          <w:color w:val="auto"/>
          <w:sz w:val="24"/>
          <w:szCs w:val="24"/>
          <w:lang w:eastAsia="zh-CN"/>
        </w:rPr>
        <w:t>系统内</w:t>
      </w:r>
      <w:r>
        <w:rPr>
          <w:rFonts w:hint="eastAsia" w:asciiTheme="minorEastAsia" w:hAnsiTheme="minorEastAsia" w:eastAsiaTheme="minorEastAsia" w:cstheme="minorEastAsia"/>
          <w:b w:val="0"/>
          <w:bCs w:val="0"/>
          <w:color w:val="auto"/>
          <w:sz w:val="24"/>
          <w:szCs w:val="24"/>
        </w:rPr>
        <w:t>工作人员和离退休人员干部人事档案</w:t>
      </w:r>
      <w:r>
        <w:rPr>
          <w:rFonts w:hint="eastAsia" w:asciiTheme="minorEastAsia" w:hAnsiTheme="minorEastAsia" w:eastAsiaTheme="minorEastAsia" w:cstheme="minorEastAsia"/>
          <w:b w:val="0"/>
          <w:bCs w:val="0"/>
          <w:color w:val="auto"/>
          <w:sz w:val="24"/>
          <w:szCs w:val="24"/>
          <w:lang w:eastAsia="zh-CN"/>
        </w:rPr>
        <w:t>及</w:t>
      </w:r>
      <w:r>
        <w:rPr>
          <w:rFonts w:hint="eastAsia" w:asciiTheme="minorEastAsia" w:hAnsiTheme="minorEastAsia" w:eastAsiaTheme="minorEastAsia" w:cstheme="minorEastAsia"/>
          <w:b w:val="0"/>
          <w:bCs w:val="0"/>
          <w:color w:val="auto"/>
          <w:sz w:val="24"/>
          <w:szCs w:val="24"/>
        </w:rPr>
        <w:t>《干部档案工作条例》规定需要管理的其他人员档案。</w:t>
      </w:r>
      <w:r>
        <w:rPr>
          <w:rFonts w:hint="eastAsia" w:asciiTheme="minorEastAsia" w:hAnsiTheme="minorEastAsia" w:eastAsiaTheme="minorEastAsia" w:cstheme="minorEastAsia"/>
          <w:b w:val="0"/>
          <w:bCs w:val="0"/>
          <w:color w:val="auto"/>
          <w:sz w:val="24"/>
          <w:szCs w:val="24"/>
          <w:lang w:eastAsia="zh-CN"/>
        </w:rPr>
        <w:t>市委组织部信息中心负责局</w:t>
      </w:r>
      <w:r>
        <w:rPr>
          <w:rFonts w:hint="eastAsia" w:asciiTheme="minorEastAsia" w:hAnsiTheme="minorEastAsia" w:eastAsiaTheme="minorEastAsia" w:cstheme="minorEastAsia"/>
          <w:b w:val="0"/>
          <w:bCs w:val="0"/>
          <w:color w:val="auto"/>
          <w:sz w:val="24"/>
          <w:szCs w:val="24"/>
        </w:rPr>
        <w:t>机关科级及其以下工作人员</w:t>
      </w:r>
      <w:r>
        <w:rPr>
          <w:rFonts w:hint="eastAsia" w:asciiTheme="minorEastAsia" w:hAnsiTheme="minorEastAsia" w:eastAsiaTheme="minorEastAsia" w:cstheme="minorEastAsia"/>
          <w:b w:val="0"/>
          <w:bCs w:val="0"/>
          <w:color w:val="auto"/>
          <w:sz w:val="24"/>
          <w:szCs w:val="24"/>
          <w:lang w:eastAsia="zh-CN"/>
        </w:rPr>
        <w:t>人事档案的保管；市人社局档案管理中心负责白城市社会医疗保险局和白城市医疗保障局洮北经办中心人事档案的保管。</w:t>
      </w:r>
    </w:p>
    <w:p w14:paraId="219D146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第四条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干部人事档案材料收集归档的范围。</w:t>
      </w:r>
    </w:p>
    <w:p w14:paraId="31D674CB">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干部调配(转业安置)、任免、考察考核等工作中形成的各类人员登记表(如干部履历表、履历书和教师、职工、医务人员、军人登记表等),任免呈报表(包括上报的考察材料),鉴定、干部考核登记表、民主评议和组织考核形成的综合材料,退(离)休审批表和军队转业干部审批表</w:t>
      </w:r>
      <w:r>
        <w:rPr>
          <w:rFonts w:hint="eastAsia" w:asciiTheme="minorEastAsia" w:hAnsiTheme="minorEastAsia" w:eastAsiaTheme="minorEastAsia" w:cstheme="minorEastAsia"/>
          <w:b w:val="0"/>
          <w:bCs w:val="0"/>
          <w:color w:val="auto"/>
          <w:sz w:val="24"/>
          <w:szCs w:val="24"/>
          <w:lang w:eastAsia="zh-CN"/>
        </w:rPr>
        <w:t>。</w:t>
      </w:r>
    </w:p>
    <w:p w14:paraId="7B957C4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录用和聘用干部工作中形成的录用和聘用审批表、聘用干部合同书、政审(考核)材料、续聘审批表、解聘辞退材料</w:t>
      </w:r>
      <w:r>
        <w:rPr>
          <w:rFonts w:hint="eastAsia" w:asciiTheme="minorEastAsia" w:hAnsiTheme="minorEastAsia" w:eastAsiaTheme="minorEastAsia" w:cstheme="minorEastAsia"/>
          <w:b w:val="0"/>
          <w:bCs w:val="0"/>
          <w:color w:val="auto"/>
          <w:sz w:val="24"/>
          <w:szCs w:val="24"/>
          <w:lang w:eastAsia="zh-CN"/>
        </w:rPr>
        <w:t>。</w:t>
      </w:r>
    </w:p>
    <w:p w14:paraId="150C9107">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办理出国、出境人员审批工作中形成的审批表登记表及在国外、境外表现情况的鉴定材料</w:t>
      </w:r>
      <w:r>
        <w:rPr>
          <w:rFonts w:hint="eastAsia" w:asciiTheme="minorEastAsia" w:hAnsiTheme="minorEastAsia" w:eastAsiaTheme="minorEastAsia" w:cstheme="minorEastAsia"/>
          <w:b w:val="0"/>
          <w:bCs w:val="0"/>
          <w:color w:val="auto"/>
          <w:sz w:val="24"/>
          <w:szCs w:val="24"/>
          <w:lang w:eastAsia="zh-CN"/>
        </w:rPr>
        <w:t>。</w:t>
      </w:r>
    </w:p>
    <w:p w14:paraId="6E103B6D">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党代会、人代会、政协会议和工、青、妇等群众团体代表会,以及民主党派代表会等会议形成的代表登记表和委员的简历、政绩材料</w:t>
      </w:r>
      <w:r>
        <w:rPr>
          <w:rFonts w:hint="eastAsia" w:asciiTheme="minorEastAsia" w:hAnsiTheme="minorEastAsia" w:eastAsiaTheme="minorEastAsia" w:cstheme="minorEastAsia"/>
          <w:b w:val="0"/>
          <w:bCs w:val="0"/>
          <w:color w:val="auto"/>
          <w:sz w:val="24"/>
          <w:szCs w:val="24"/>
          <w:lang w:eastAsia="zh-CN"/>
        </w:rPr>
        <w:t>。</w:t>
      </w:r>
    </w:p>
    <w:p w14:paraId="1A6DFB76">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办理干部工资、待遇工作中形成的登记表、审批表和解决待遇问题的批复材料</w:t>
      </w:r>
      <w:r>
        <w:rPr>
          <w:rFonts w:hint="eastAsia" w:asciiTheme="minorEastAsia" w:hAnsiTheme="minorEastAsia" w:eastAsiaTheme="minorEastAsia" w:cstheme="minorEastAsia"/>
          <w:b w:val="0"/>
          <w:bCs w:val="0"/>
          <w:color w:val="auto"/>
          <w:sz w:val="24"/>
          <w:szCs w:val="24"/>
          <w:lang w:eastAsia="zh-CN"/>
        </w:rPr>
        <w:t>。</w:t>
      </w:r>
    </w:p>
    <w:p w14:paraId="62F89D9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国民教育、成人教育和干部培训工作中形成的学生(学员)登记表、学习成绩登记表、毕业登记表、授予学位的材料、学历证明书、培训结业成绩登记表、学习鉴定材料</w:t>
      </w:r>
      <w:r>
        <w:rPr>
          <w:rFonts w:hint="eastAsia" w:asciiTheme="minorEastAsia" w:hAnsiTheme="minorEastAsia" w:eastAsiaTheme="minorEastAsia" w:cstheme="minorEastAsia"/>
          <w:b w:val="0"/>
          <w:bCs w:val="0"/>
          <w:color w:val="auto"/>
          <w:sz w:val="24"/>
          <w:szCs w:val="24"/>
          <w:lang w:eastAsia="zh-CN"/>
        </w:rPr>
        <w:t>；</w:t>
      </w:r>
    </w:p>
    <w:p w14:paraId="085990C7">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评聘专业技术职务(职称)工作中形成的专业技术职务任职资格申报表、专业技术职务考绩材料、聘任专业职务的审批表、套改和晋升专业职务(职称)审批表</w:t>
      </w:r>
      <w:r>
        <w:rPr>
          <w:rFonts w:hint="eastAsia" w:asciiTheme="minorEastAsia" w:hAnsiTheme="minorEastAsia" w:eastAsiaTheme="minorEastAsia" w:cstheme="minorEastAsia"/>
          <w:b w:val="0"/>
          <w:bCs w:val="0"/>
          <w:color w:val="auto"/>
          <w:sz w:val="24"/>
          <w:szCs w:val="24"/>
          <w:lang w:eastAsia="zh-CN"/>
        </w:rPr>
        <w:t>。</w:t>
      </w:r>
    </w:p>
    <w:p w14:paraId="6E884A99">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更改干部的姓名、民族、年龄、国籍、入党入团时间、参加革命工作时间等过程中形成的个人申请、组织审查报告、上级批复以及所依据的证明材料</w:t>
      </w:r>
      <w:r>
        <w:rPr>
          <w:rFonts w:hint="eastAsia" w:asciiTheme="minorEastAsia" w:hAnsiTheme="minorEastAsia" w:eastAsiaTheme="minorEastAsia" w:cstheme="minorEastAsia"/>
          <w:b w:val="0"/>
          <w:bCs w:val="0"/>
          <w:color w:val="auto"/>
          <w:sz w:val="24"/>
          <w:szCs w:val="24"/>
          <w:lang w:eastAsia="zh-CN"/>
        </w:rPr>
        <w:t>；</w:t>
      </w:r>
    </w:p>
    <w:p w14:paraId="21DF905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rPr>
        <w:t>党团组织建设中形成的材料:已批准转正的中国共产党入党志愿书、入党申请书和转正申请书、自传、政审材料,党员登记表、个人总结</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不予登记的决定、组织审批意见及所依据的材料,民主评议党员中形成的组织意见、民主评议党员登记表、优秀党员事迹及组织审批材料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认定为不合格党员被劝退或除名的主要事实依据材料和组织审批材料,退党材料,取消预备党员资格的组织意见</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共青团</w:t>
      </w:r>
      <w:r>
        <w:rPr>
          <w:rFonts w:hint="eastAsia" w:asciiTheme="minorEastAsia" w:hAnsiTheme="minorEastAsia" w:eastAsiaTheme="minorEastAsia" w:cstheme="minorEastAsia"/>
          <w:b w:val="0"/>
          <w:bCs w:val="0"/>
          <w:color w:val="auto"/>
          <w:sz w:val="24"/>
          <w:szCs w:val="24"/>
          <w:lang w:eastAsia="zh-CN"/>
        </w:rPr>
        <w:t>入</w:t>
      </w:r>
      <w:r>
        <w:rPr>
          <w:rFonts w:hint="eastAsia" w:asciiTheme="minorEastAsia" w:hAnsiTheme="minorEastAsia" w:eastAsiaTheme="minorEastAsia" w:cstheme="minorEastAsia"/>
          <w:b w:val="0"/>
          <w:bCs w:val="0"/>
          <w:color w:val="auto"/>
          <w:sz w:val="24"/>
          <w:szCs w:val="24"/>
        </w:rPr>
        <w:t>团志愿书、申请书、团员登记表,优秀团员事迹材料,退团材料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加入民主党派的有关材料</w:t>
      </w:r>
      <w:r>
        <w:rPr>
          <w:rFonts w:hint="eastAsia" w:asciiTheme="minorEastAsia" w:hAnsiTheme="minorEastAsia" w:eastAsiaTheme="minorEastAsia" w:cstheme="minorEastAsia"/>
          <w:b w:val="0"/>
          <w:bCs w:val="0"/>
          <w:color w:val="auto"/>
          <w:sz w:val="24"/>
          <w:szCs w:val="24"/>
          <w:lang w:eastAsia="zh-CN"/>
        </w:rPr>
        <w:t>。</w:t>
      </w:r>
    </w:p>
    <w:p w14:paraId="731328ED">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干部审查工作中形成的调查报告、结论、上级批复、个人对结论的意见、检查交待或说明的材料,以及作为依据的调查证明材料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甄别、复查结论(意见、决定)、调查报告、批复及有关的主要依据材料</w:t>
      </w:r>
      <w:r>
        <w:rPr>
          <w:rFonts w:hint="eastAsia" w:asciiTheme="minorEastAsia" w:hAnsiTheme="minorEastAsia" w:eastAsiaTheme="minorEastAsia" w:cstheme="minorEastAsia"/>
          <w:b w:val="0"/>
          <w:bCs w:val="0"/>
          <w:color w:val="auto"/>
          <w:sz w:val="24"/>
          <w:szCs w:val="24"/>
          <w:lang w:eastAsia="zh-CN"/>
        </w:rPr>
        <w:t>。</w:t>
      </w:r>
    </w:p>
    <w:p w14:paraId="283F9A94">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11.</w:t>
      </w:r>
      <w:r>
        <w:rPr>
          <w:rFonts w:hint="eastAsia" w:asciiTheme="minorEastAsia" w:hAnsiTheme="minorEastAsia" w:eastAsiaTheme="minorEastAsia" w:cstheme="minorEastAsia"/>
          <w:b w:val="0"/>
          <w:bCs w:val="0"/>
          <w:color w:val="auto"/>
          <w:sz w:val="24"/>
          <w:szCs w:val="24"/>
        </w:rPr>
        <w:t>表彰奖励活动中形成的各种先进人物登记表、先进模范事迹、嘉奖通报材料</w:t>
      </w:r>
      <w:r>
        <w:rPr>
          <w:rFonts w:hint="eastAsia" w:asciiTheme="minorEastAsia" w:hAnsiTheme="minorEastAsia" w:eastAsiaTheme="minorEastAsia" w:cstheme="minorEastAsia"/>
          <w:b w:val="0"/>
          <w:bCs w:val="0"/>
          <w:color w:val="auto"/>
          <w:sz w:val="24"/>
          <w:szCs w:val="24"/>
          <w:lang w:eastAsia="zh-CN"/>
        </w:rPr>
        <w:t>。</w:t>
      </w:r>
    </w:p>
    <w:p w14:paraId="4AF953F0">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组织布置填写的履历、自传、组织鉴定、自我鉴定材料</w:t>
      </w:r>
      <w:r>
        <w:rPr>
          <w:rFonts w:hint="eastAsia" w:asciiTheme="minorEastAsia" w:hAnsiTheme="minorEastAsia" w:eastAsiaTheme="minorEastAsia" w:cstheme="minorEastAsia"/>
          <w:b w:val="0"/>
          <w:bCs w:val="0"/>
          <w:color w:val="auto"/>
          <w:sz w:val="24"/>
          <w:szCs w:val="24"/>
          <w:lang w:eastAsia="zh-CN"/>
        </w:rPr>
        <w:t>。</w:t>
      </w:r>
    </w:p>
    <w:p w14:paraId="307F06C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13.</w:t>
      </w:r>
      <w:r>
        <w:rPr>
          <w:rFonts w:hint="eastAsia" w:asciiTheme="minorEastAsia" w:hAnsiTheme="minorEastAsia" w:eastAsiaTheme="minorEastAsia" w:cstheme="minorEastAsia"/>
          <w:b w:val="0"/>
          <w:bCs w:val="0"/>
          <w:color w:val="auto"/>
          <w:sz w:val="24"/>
          <w:szCs w:val="24"/>
        </w:rPr>
        <w:t>纪律检查、监察和行政管理等工作中形成的处分决定(免予处分的意见)、记过材料、查证核实报告、上级批复、本人对处分决定的意见和检查、交待材料,通报批评材料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法院审判工作形成的判决书</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复查甄别报告、决定、上级批复材料</w:t>
      </w:r>
      <w:r>
        <w:rPr>
          <w:rFonts w:hint="eastAsia" w:asciiTheme="minorEastAsia" w:hAnsiTheme="minorEastAsia" w:eastAsiaTheme="minorEastAsia" w:cstheme="minorEastAsia"/>
          <w:b w:val="0"/>
          <w:bCs w:val="0"/>
          <w:color w:val="auto"/>
          <w:sz w:val="24"/>
          <w:szCs w:val="24"/>
          <w:lang w:eastAsia="zh-CN"/>
        </w:rPr>
        <w:t>；</w:t>
      </w:r>
    </w:p>
    <w:p w14:paraId="0D49FDC9">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14.</w:t>
      </w:r>
      <w:r>
        <w:rPr>
          <w:rFonts w:hint="eastAsia" w:asciiTheme="minorEastAsia" w:hAnsiTheme="minorEastAsia" w:eastAsiaTheme="minorEastAsia" w:cstheme="minorEastAsia"/>
          <w:b w:val="0"/>
          <w:bCs w:val="0"/>
          <w:color w:val="auto"/>
          <w:sz w:val="24"/>
          <w:szCs w:val="24"/>
        </w:rPr>
        <w:t>干部的创造发明、科研成果、著作、译著、有重大影响的论文(如获奖或在全国性的报刊上发表的)等目录</w:t>
      </w:r>
      <w:r>
        <w:rPr>
          <w:rFonts w:hint="eastAsia" w:asciiTheme="minorEastAsia" w:hAnsiTheme="minorEastAsia" w:eastAsiaTheme="minorEastAsia" w:cstheme="minorEastAsia"/>
          <w:b w:val="0"/>
          <w:bCs w:val="0"/>
          <w:color w:val="auto"/>
          <w:sz w:val="24"/>
          <w:szCs w:val="24"/>
          <w:lang w:eastAsia="zh-CN"/>
        </w:rPr>
        <w:t>。</w:t>
      </w:r>
    </w:p>
    <w:p w14:paraId="3E748DC3">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15.</w:t>
      </w:r>
      <w:r>
        <w:rPr>
          <w:rFonts w:hint="eastAsia" w:asciiTheme="minorEastAsia" w:hAnsiTheme="minorEastAsia" w:eastAsiaTheme="minorEastAsia" w:cstheme="minorEastAsia"/>
          <w:b w:val="0"/>
          <w:bCs w:val="0"/>
          <w:color w:val="auto"/>
          <w:sz w:val="24"/>
          <w:szCs w:val="24"/>
        </w:rPr>
        <w:t>体格检查中确诊有残疾的体检表及工伤致残确定残废等级的材料</w:t>
      </w:r>
      <w:r>
        <w:rPr>
          <w:rFonts w:hint="eastAsia" w:asciiTheme="minorEastAsia" w:hAnsiTheme="minorEastAsia" w:eastAsiaTheme="minorEastAsia" w:cstheme="minorEastAsia"/>
          <w:b w:val="0"/>
          <w:bCs w:val="0"/>
          <w:color w:val="auto"/>
          <w:sz w:val="24"/>
          <w:szCs w:val="24"/>
          <w:lang w:eastAsia="zh-CN"/>
        </w:rPr>
        <w:t>。</w:t>
      </w:r>
    </w:p>
    <w:p w14:paraId="0DBD422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第五条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档案材料收集补充制度。</w:t>
      </w:r>
    </w:p>
    <w:p w14:paraId="417D1B9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干部人事档案管理工作人员必须按照中组部《干部人事档案材料收集归档规定》的要求,经常地、有计划地将反映干部的德、能、勤、绩的材料收集归档,不断补充干部档案内容</w:t>
      </w:r>
      <w:r>
        <w:rPr>
          <w:rFonts w:hint="eastAsia" w:asciiTheme="minorEastAsia" w:hAnsiTheme="minorEastAsia" w:eastAsiaTheme="minorEastAsia" w:cstheme="minorEastAsia"/>
          <w:b w:val="0"/>
          <w:bCs w:val="0"/>
          <w:color w:val="auto"/>
          <w:sz w:val="24"/>
          <w:szCs w:val="24"/>
          <w:lang w:eastAsia="zh-CN"/>
        </w:rPr>
        <w:t>。</w:t>
      </w:r>
    </w:p>
    <w:p w14:paraId="7534EDF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要与干部人事档案材料形成部门互相联系,及时了解、掌握形成干部人事档案材料的信息,不断补充干部人事档案内容</w:t>
      </w:r>
      <w:r>
        <w:rPr>
          <w:rFonts w:hint="eastAsia" w:asciiTheme="minorEastAsia" w:hAnsiTheme="minorEastAsia" w:eastAsiaTheme="minorEastAsia" w:cstheme="minorEastAsia"/>
          <w:b w:val="0"/>
          <w:bCs w:val="0"/>
          <w:color w:val="auto"/>
          <w:sz w:val="24"/>
          <w:szCs w:val="24"/>
          <w:lang w:eastAsia="zh-CN"/>
        </w:rPr>
        <w:t>。</w:t>
      </w:r>
    </w:p>
    <w:p w14:paraId="7CFD93B5">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形成干部档案材料应认真按照干部人事档案材料收集归档的范围要求,在形成正式材料后的</w:t>
      </w:r>
      <w:r>
        <w:rPr>
          <w:rFonts w:hint="eastAsia" w:asciiTheme="minorEastAsia" w:hAnsiTheme="minorEastAsia" w:eastAsiaTheme="minorEastAsia" w:cstheme="minorEastAsia"/>
          <w:b w:val="0"/>
          <w:bCs w:val="0"/>
          <w:color w:val="auto"/>
          <w:sz w:val="24"/>
          <w:szCs w:val="24"/>
          <w:lang w:eastAsia="zh-CN"/>
        </w:rPr>
        <w:t>一</w:t>
      </w:r>
      <w:r>
        <w:rPr>
          <w:rFonts w:hint="eastAsia" w:asciiTheme="minorEastAsia" w:hAnsiTheme="minorEastAsia" w:eastAsiaTheme="minorEastAsia" w:cstheme="minorEastAsia"/>
          <w:b w:val="0"/>
          <w:bCs w:val="0"/>
          <w:color w:val="auto"/>
          <w:sz w:val="24"/>
          <w:szCs w:val="24"/>
        </w:rPr>
        <w:t>个月内,负责把应归档的材料送交</w:t>
      </w:r>
      <w:r>
        <w:rPr>
          <w:rFonts w:hint="eastAsia" w:asciiTheme="minorEastAsia" w:hAnsiTheme="minorEastAsia" w:eastAsiaTheme="minorEastAsia" w:cstheme="minorEastAsia"/>
          <w:b w:val="0"/>
          <w:bCs w:val="0"/>
          <w:color w:val="auto"/>
          <w:sz w:val="24"/>
          <w:szCs w:val="24"/>
          <w:lang w:eastAsia="zh-CN"/>
        </w:rPr>
        <w:t>党总支局</w:t>
      </w:r>
      <w:r>
        <w:rPr>
          <w:rFonts w:hint="eastAsia" w:asciiTheme="minorEastAsia" w:hAnsiTheme="minorEastAsia" w:eastAsiaTheme="minorEastAsia" w:cstheme="minorEastAsia"/>
          <w:b w:val="0"/>
          <w:bCs w:val="0"/>
          <w:color w:val="auto"/>
          <w:sz w:val="24"/>
          <w:szCs w:val="24"/>
        </w:rPr>
        <w:t>归档,并形成制度</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任何组织和个人不得以任何理由积压或滞留干部人事档案材料</w:t>
      </w:r>
      <w:r>
        <w:rPr>
          <w:rFonts w:hint="eastAsia" w:asciiTheme="minorEastAsia" w:hAnsiTheme="minorEastAsia" w:eastAsiaTheme="minorEastAsia" w:cstheme="minorEastAsia"/>
          <w:b w:val="0"/>
          <w:bCs w:val="0"/>
          <w:color w:val="auto"/>
          <w:sz w:val="24"/>
          <w:szCs w:val="24"/>
          <w:lang w:eastAsia="zh-CN"/>
        </w:rPr>
        <w:t>。</w:t>
      </w:r>
    </w:p>
    <w:p w14:paraId="7E43B803">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收集补充的档案材料必须内容真实、齐全完整、文字清楚、手续完备、规格一致(</w:t>
      </w:r>
      <w:r>
        <w:rPr>
          <w:rFonts w:hint="eastAsia" w:asciiTheme="minorEastAsia" w:hAnsiTheme="minorEastAsia" w:eastAsiaTheme="minorEastAsia" w:cstheme="minorEastAsia"/>
          <w:b w:val="0"/>
          <w:bCs w:val="0"/>
          <w:color w:val="auto"/>
          <w:sz w:val="24"/>
          <w:szCs w:val="24"/>
          <w:lang w:val="en-US" w:eastAsia="zh-CN"/>
        </w:rPr>
        <w:t>A4</w:t>
      </w:r>
      <w:r>
        <w:rPr>
          <w:rFonts w:hint="eastAsia" w:asciiTheme="minorEastAsia" w:hAnsiTheme="minorEastAsia" w:eastAsiaTheme="minorEastAsia" w:cstheme="minorEastAsia"/>
          <w:b w:val="0"/>
          <w:bCs w:val="0"/>
          <w:color w:val="auto"/>
          <w:sz w:val="24"/>
          <w:szCs w:val="24"/>
        </w:rPr>
        <w:t>办公用纸)。</w:t>
      </w:r>
    </w:p>
    <w:p w14:paraId="4BA8ED57">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档案材料不得使用圆珠笔、铅笔或红色及纯蓝色墨水和复写纸书写。</w:t>
      </w:r>
    </w:p>
    <w:p w14:paraId="593E62BE">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第六条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档案材料鉴别归档制度。</w:t>
      </w:r>
    </w:p>
    <w:p w14:paraId="5B2CD60D">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应根据《干部档案工作条例》等有关规定,随时或定期对收集上来的干部人事档案材料,进行认真审查和鉴别,符合归档要求的才能进行整理立卷</w:t>
      </w:r>
      <w:r>
        <w:rPr>
          <w:rFonts w:hint="eastAsia" w:asciiTheme="minorEastAsia" w:hAnsiTheme="minorEastAsia" w:eastAsiaTheme="minorEastAsia" w:cstheme="minorEastAsia"/>
          <w:b w:val="0"/>
          <w:bCs w:val="0"/>
          <w:color w:val="auto"/>
          <w:sz w:val="24"/>
          <w:szCs w:val="24"/>
          <w:lang w:eastAsia="zh-CN"/>
        </w:rPr>
        <w:t>。</w:t>
      </w:r>
    </w:p>
    <w:p w14:paraId="26591B0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未经鉴别,不得私自将不属于归档的材料归入档案或从干部档案中撤出材料,任何人不得擅自销毁干部档案材料,如有类似情况发生应查清原因,追究责任严肃处理</w:t>
      </w:r>
      <w:r>
        <w:rPr>
          <w:rFonts w:hint="eastAsia" w:asciiTheme="minorEastAsia" w:hAnsiTheme="minorEastAsia" w:eastAsiaTheme="minorEastAsia" w:cstheme="minorEastAsia"/>
          <w:b w:val="0"/>
          <w:bCs w:val="0"/>
          <w:color w:val="auto"/>
          <w:sz w:val="24"/>
          <w:szCs w:val="24"/>
          <w:lang w:eastAsia="zh-CN"/>
        </w:rPr>
        <w:t>。</w:t>
      </w:r>
    </w:p>
    <w:p w14:paraId="0B7F9DAC">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经鉴别,属于内容不完整,来源、时间不明,手续不完备的材料,应登记注明暂不归档,待查清原因,补办完手续或复制后再归档</w:t>
      </w:r>
      <w:r>
        <w:rPr>
          <w:rFonts w:hint="eastAsia" w:asciiTheme="minorEastAsia" w:hAnsiTheme="minorEastAsia" w:eastAsiaTheme="minorEastAsia" w:cstheme="minorEastAsia"/>
          <w:b w:val="0"/>
          <w:bCs w:val="0"/>
          <w:color w:val="auto"/>
          <w:sz w:val="24"/>
          <w:szCs w:val="24"/>
          <w:lang w:eastAsia="zh-CN"/>
        </w:rPr>
        <w:t>。</w:t>
      </w:r>
    </w:p>
    <w:p w14:paraId="65339A38">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凡涉及干部政治历史问题或其他重要问题,需要查清而未查清的材料,交有关部门审查处理,在未做出结论之前不得归档</w:t>
      </w:r>
      <w:r>
        <w:rPr>
          <w:rFonts w:hint="eastAsia" w:asciiTheme="minorEastAsia" w:hAnsiTheme="minorEastAsia" w:eastAsiaTheme="minorEastAsia" w:cstheme="minorEastAsia"/>
          <w:b w:val="0"/>
          <w:bCs w:val="0"/>
          <w:color w:val="auto"/>
          <w:sz w:val="24"/>
          <w:szCs w:val="24"/>
          <w:lang w:eastAsia="zh-CN"/>
        </w:rPr>
        <w:t>。</w:t>
      </w:r>
    </w:p>
    <w:p w14:paraId="7A82203A">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凡是干部人事档案材料归档或干部人事档案中撤出材料,必须由专人把关。经鉴别应销毁或应转给有关单位和部门的材料必须登记造册。</w:t>
      </w:r>
    </w:p>
    <w:p w14:paraId="5256B738">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第七条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档案整理工作制度。</w:t>
      </w:r>
    </w:p>
    <w:p w14:paraId="1EEEBBB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干部人事档案必须按照中组部颁发的《干部档案整理工作细则》的要求和方法进行整理</w:t>
      </w:r>
      <w:r>
        <w:rPr>
          <w:rFonts w:hint="eastAsia" w:asciiTheme="minorEastAsia" w:hAnsiTheme="minorEastAsia" w:eastAsiaTheme="minorEastAsia" w:cstheme="minorEastAsia"/>
          <w:b w:val="0"/>
          <w:bCs w:val="0"/>
          <w:color w:val="auto"/>
          <w:sz w:val="24"/>
          <w:szCs w:val="24"/>
          <w:lang w:eastAsia="zh-CN"/>
        </w:rPr>
        <w:t>。</w:t>
      </w:r>
    </w:p>
    <w:p w14:paraId="1DBE0347">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整理干部人事档案必须做到鉴别认真、分类准确、编排有序、目录清楚、装订整齐,使每卷档案达到完整、真实、条理、精炼、实用的要求</w:t>
      </w:r>
      <w:r>
        <w:rPr>
          <w:rFonts w:hint="eastAsia" w:asciiTheme="minorEastAsia" w:hAnsiTheme="minorEastAsia" w:eastAsiaTheme="minorEastAsia" w:cstheme="minorEastAsia"/>
          <w:b w:val="0"/>
          <w:bCs w:val="0"/>
          <w:color w:val="auto"/>
          <w:sz w:val="24"/>
          <w:szCs w:val="24"/>
          <w:lang w:val="en-US" w:eastAsia="zh-CN"/>
        </w:rPr>
        <w:t>。</w:t>
      </w:r>
    </w:p>
    <w:p w14:paraId="07E9B3AC">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整理干部人事档案时,不得私自涂改、抽取或伪造档案材料,不得擅自处理或销毁档案材料</w:t>
      </w:r>
      <w:r>
        <w:rPr>
          <w:rFonts w:hint="eastAsia" w:asciiTheme="minorEastAsia" w:hAnsiTheme="minorEastAsia" w:eastAsiaTheme="minorEastAsia" w:cstheme="minorEastAsia"/>
          <w:b w:val="0"/>
          <w:bCs w:val="0"/>
          <w:color w:val="auto"/>
          <w:sz w:val="24"/>
          <w:szCs w:val="24"/>
          <w:lang w:val="en-US" w:eastAsia="zh-CN"/>
        </w:rPr>
        <w:t>。</w:t>
      </w:r>
    </w:p>
    <w:p w14:paraId="7B9C7DC6">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整理干部人事档案工作人员必须认真执行《中华人民共和国保守秘密法》和《干部档案工作条例》等有关规定,严格遵守安全保密制度,严防丢失和泄露干部档案内容</w:t>
      </w:r>
      <w:r>
        <w:rPr>
          <w:rFonts w:hint="eastAsia" w:asciiTheme="minorEastAsia" w:hAnsiTheme="minorEastAsia" w:eastAsiaTheme="minorEastAsia" w:cstheme="minorEastAsia"/>
          <w:b w:val="0"/>
          <w:bCs w:val="0"/>
          <w:color w:val="auto"/>
          <w:sz w:val="24"/>
          <w:szCs w:val="24"/>
          <w:lang w:val="en-US" w:eastAsia="zh-CN"/>
        </w:rPr>
        <w:t>。</w:t>
      </w:r>
    </w:p>
    <w:p w14:paraId="391B7CC6">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整理干部人事档案工作要坚持经常整理与集中整理相结合,普遍整理与个别整理相结合,使档案经常保持整洁规范状态。</w:t>
      </w:r>
    </w:p>
    <w:p w14:paraId="254ABEB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第八条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档案提供利用制度。</w:t>
      </w:r>
    </w:p>
    <w:p w14:paraId="30CA3D78">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凡因干部本人入党、出国、任免、考察、审查、调动、组织处理及复查、甄别等需要了解情况时,</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可以</w:t>
      </w:r>
      <w:r>
        <w:rPr>
          <w:rFonts w:hint="eastAsia" w:asciiTheme="minorEastAsia" w:hAnsiTheme="minorEastAsia" w:eastAsiaTheme="minorEastAsia" w:cstheme="minorEastAsia"/>
          <w:b w:val="0"/>
          <w:bCs w:val="0"/>
          <w:color w:val="auto"/>
          <w:sz w:val="24"/>
          <w:szCs w:val="24"/>
          <w:lang w:eastAsia="zh-CN"/>
        </w:rPr>
        <w:t>协助管理档案的部门，</w:t>
      </w:r>
      <w:r>
        <w:rPr>
          <w:rFonts w:hint="eastAsia" w:asciiTheme="minorEastAsia" w:hAnsiTheme="minorEastAsia" w:eastAsiaTheme="minorEastAsia" w:cstheme="minorEastAsia"/>
          <w:b w:val="0"/>
          <w:bCs w:val="0"/>
          <w:color w:val="auto"/>
          <w:sz w:val="24"/>
          <w:szCs w:val="24"/>
        </w:rPr>
        <w:t>提供干部人事档案</w:t>
      </w:r>
      <w:r>
        <w:rPr>
          <w:rFonts w:hint="eastAsia" w:asciiTheme="minorEastAsia" w:hAnsiTheme="minorEastAsia" w:eastAsiaTheme="minorEastAsia" w:cstheme="minorEastAsia"/>
          <w:b w:val="0"/>
          <w:bCs w:val="0"/>
          <w:color w:val="auto"/>
          <w:sz w:val="24"/>
          <w:szCs w:val="24"/>
          <w:lang w:eastAsia="zh-CN"/>
        </w:rPr>
        <w:t>。</w:t>
      </w:r>
    </w:p>
    <w:p w14:paraId="41D1F889">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凡查阅和借用干部人事档案,利用单位必须派中共党员干部持《查阅干部档案审批表》和工作证到</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办理查阅和借用手续</w:t>
      </w:r>
      <w:r>
        <w:rPr>
          <w:rFonts w:hint="eastAsia" w:asciiTheme="minorEastAsia" w:hAnsiTheme="minorEastAsia" w:eastAsiaTheme="minorEastAsia" w:cstheme="minorEastAsia"/>
          <w:b w:val="0"/>
          <w:bCs w:val="0"/>
          <w:color w:val="auto"/>
          <w:sz w:val="24"/>
          <w:szCs w:val="24"/>
          <w:lang w:eastAsia="zh-CN"/>
        </w:rPr>
        <w:t>。</w:t>
      </w:r>
    </w:p>
    <w:p w14:paraId="7A23E669">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任何个人不得查阅和借用本人及其直系亲属的档案</w:t>
      </w:r>
      <w:r>
        <w:rPr>
          <w:rFonts w:hint="eastAsia" w:asciiTheme="minorEastAsia" w:hAnsiTheme="minorEastAsia" w:eastAsiaTheme="minorEastAsia" w:cstheme="minorEastAsia"/>
          <w:b w:val="0"/>
          <w:bCs w:val="0"/>
          <w:color w:val="auto"/>
          <w:sz w:val="24"/>
          <w:szCs w:val="24"/>
          <w:lang w:eastAsia="zh-CN"/>
        </w:rPr>
        <w:t>。</w:t>
      </w:r>
    </w:p>
    <w:p w14:paraId="1BC4502C">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查阅借用干部人事档案的单位或个人,未经同意,不得擅自拍摄复制档案内容</w:t>
      </w:r>
      <w:r>
        <w:rPr>
          <w:rFonts w:hint="eastAsia" w:asciiTheme="minorEastAsia" w:hAnsiTheme="minorEastAsia" w:eastAsiaTheme="minorEastAsia" w:cstheme="minorEastAsia"/>
          <w:b w:val="0"/>
          <w:bCs w:val="0"/>
          <w:color w:val="auto"/>
          <w:sz w:val="24"/>
          <w:szCs w:val="24"/>
          <w:lang w:eastAsia="zh-CN"/>
        </w:rPr>
        <w:t>。</w:t>
      </w:r>
    </w:p>
    <w:p w14:paraId="5578C0B4">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查阅借用干部人事档案,必须严格遵守保密制度和阅档规定,严禁拆卸、涂改、圈划、折叠、批注、抽取和撤换档案材料。要注意保护档案不得弄脏弄湿,阅档时严禁吸烟,查阅借用档案一定要登记。</w:t>
      </w:r>
    </w:p>
    <w:p w14:paraId="5073B1E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第九条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档案转递工作制度。</w:t>
      </w:r>
    </w:p>
    <w:p w14:paraId="12B18F2E">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党总支</w:t>
      </w:r>
      <w:r>
        <w:rPr>
          <w:rFonts w:hint="eastAsia" w:asciiTheme="minorEastAsia" w:hAnsiTheme="minorEastAsia" w:eastAsiaTheme="minorEastAsia" w:cstheme="minorEastAsia"/>
          <w:b w:val="0"/>
          <w:bCs w:val="0"/>
          <w:color w:val="auto"/>
          <w:sz w:val="24"/>
          <w:szCs w:val="24"/>
        </w:rPr>
        <w:t>在接到干部任免或调动通知后,一周内应将干部人事档案转给新的干部主管部门</w:t>
      </w:r>
      <w:r>
        <w:rPr>
          <w:rFonts w:hint="eastAsia" w:asciiTheme="minorEastAsia" w:hAnsiTheme="minorEastAsia" w:eastAsiaTheme="minorEastAsia" w:cstheme="minorEastAsia"/>
          <w:b w:val="0"/>
          <w:bCs w:val="0"/>
          <w:color w:val="auto"/>
          <w:sz w:val="24"/>
          <w:szCs w:val="24"/>
          <w:lang w:eastAsia="zh-CN"/>
        </w:rPr>
        <w:t>。</w:t>
      </w:r>
    </w:p>
    <w:p w14:paraId="4CA45AFE">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转出的干部人事档案必须齐全完整,并按规定进行认真整理装订,不得扣留材料或分批转出</w:t>
      </w:r>
      <w:r>
        <w:rPr>
          <w:rFonts w:hint="eastAsia" w:asciiTheme="minorEastAsia" w:hAnsiTheme="minorEastAsia" w:eastAsiaTheme="minorEastAsia" w:cstheme="minorEastAsia"/>
          <w:b w:val="0"/>
          <w:bCs w:val="0"/>
          <w:color w:val="auto"/>
          <w:sz w:val="24"/>
          <w:szCs w:val="24"/>
          <w:lang w:eastAsia="zh-CN"/>
        </w:rPr>
        <w:t>。</w:t>
      </w:r>
    </w:p>
    <w:p w14:paraId="1ACBFB7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转递档案或档案材料必须按统一规定的“干部档案转递通知单”所列项目详细登记,严密包封,要通过机要交通转递或派专人送取,不准邮寄或交干部本人自带,档案转出或转入要及时登记</w:t>
      </w:r>
      <w:r>
        <w:rPr>
          <w:rFonts w:hint="eastAsia" w:asciiTheme="minorEastAsia" w:hAnsiTheme="minorEastAsia" w:eastAsiaTheme="minorEastAsia" w:cstheme="minorEastAsia"/>
          <w:b w:val="0"/>
          <w:bCs w:val="0"/>
          <w:color w:val="auto"/>
          <w:sz w:val="24"/>
          <w:szCs w:val="24"/>
          <w:lang w:eastAsia="zh-CN"/>
        </w:rPr>
        <w:t>。</w:t>
      </w:r>
    </w:p>
    <w:p w14:paraId="0166A808">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接到干部人事档案或干部人事档案材料的单位,经核对无误后,应在回执上签名盖章立即退回。逾期一个月未退回者,转出单位应催问,以防丢失</w:t>
      </w:r>
      <w:r>
        <w:rPr>
          <w:rFonts w:hint="eastAsia" w:asciiTheme="minorEastAsia" w:hAnsiTheme="minorEastAsia" w:eastAsiaTheme="minorEastAsia" w:cstheme="minorEastAsia"/>
          <w:b w:val="0"/>
          <w:bCs w:val="0"/>
          <w:color w:val="auto"/>
          <w:sz w:val="24"/>
          <w:szCs w:val="24"/>
          <w:lang w:eastAsia="zh-CN"/>
        </w:rPr>
        <w:t>。</w:t>
      </w:r>
    </w:p>
    <w:p w14:paraId="2799AD9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为保证干部人事档案随着干部调动或职务变动而及时转递,干部管理部门发出的调动、任免通知必须抄给干部人事档案管理工作人员,以便及时续填</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部职务变动情况和转递</w:t>
      </w:r>
      <w:r>
        <w:rPr>
          <w:rFonts w:hint="eastAsia" w:asciiTheme="minorEastAsia" w:hAnsiTheme="minorEastAsia" w:eastAsiaTheme="minorEastAsia" w:cstheme="minorEastAsia"/>
          <w:b w:val="0"/>
          <w:bCs w:val="0"/>
          <w:color w:val="auto"/>
          <w:sz w:val="24"/>
          <w:szCs w:val="24"/>
          <w:lang w:eastAsia="zh-CN"/>
        </w:rPr>
        <w:t>档</w:t>
      </w:r>
      <w:r>
        <w:rPr>
          <w:rFonts w:hint="eastAsia" w:asciiTheme="minorEastAsia" w:hAnsiTheme="minorEastAsia" w:eastAsiaTheme="minorEastAsia" w:cstheme="minorEastAsia"/>
          <w:b w:val="0"/>
          <w:bCs w:val="0"/>
          <w:color w:val="auto"/>
          <w:sz w:val="24"/>
          <w:szCs w:val="24"/>
        </w:rPr>
        <w:t>案。</w:t>
      </w:r>
    </w:p>
    <w:p w14:paraId="3BA9ED9A">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第十条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档案安全保密制度。</w:t>
      </w:r>
    </w:p>
    <w:p w14:paraId="2563E4E3">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部人事档案是党的机密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保管干部人事档案的库房为机要重地,无关人员一律不准进入</w:t>
      </w:r>
      <w:r>
        <w:rPr>
          <w:rFonts w:hint="eastAsia" w:asciiTheme="minorEastAsia" w:hAnsiTheme="minorEastAsia" w:eastAsiaTheme="minorEastAsia" w:cstheme="minorEastAsia"/>
          <w:b w:val="0"/>
          <w:bCs w:val="0"/>
          <w:color w:val="auto"/>
          <w:sz w:val="24"/>
          <w:szCs w:val="24"/>
          <w:lang w:eastAsia="zh-CN"/>
        </w:rPr>
        <w:t>。</w:t>
      </w:r>
    </w:p>
    <w:p w14:paraId="04E4149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干部档案管理工作人员,不准向无关人员谈论有关</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部人事档案内容,不准携带干部人事档案或</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部人事档案材料参观游览、探亲访友或出入公共场所,也不准将</w:t>
      </w:r>
      <w:r>
        <w:rPr>
          <w:rFonts w:hint="eastAsia" w:asciiTheme="minorEastAsia" w:hAnsiTheme="minorEastAsia" w:eastAsiaTheme="minorEastAsia" w:cstheme="minorEastAsia"/>
          <w:b w:val="0"/>
          <w:bCs w:val="0"/>
          <w:color w:val="auto"/>
          <w:sz w:val="24"/>
          <w:szCs w:val="24"/>
          <w:lang w:eastAsia="zh-CN"/>
        </w:rPr>
        <w:t>干</w:t>
      </w:r>
      <w:r>
        <w:rPr>
          <w:rFonts w:hint="eastAsia" w:asciiTheme="minorEastAsia" w:hAnsiTheme="minorEastAsia" w:eastAsiaTheme="minorEastAsia" w:cstheme="minorEastAsia"/>
          <w:b w:val="0"/>
          <w:bCs w:val="0"/>
          <w:color w:val="auto"/>
          <w:sz w:val="24"/>
          <w:szCs w:val="24"/>
        </w:rPr>
        <w:t>部档案带回家</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严防干部档案丢失、失密、泄密事故的发生。</w:t>
      </w:r>
    </w:p>
    <w:p w14:paraId="2779715C">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严禁任何人私自保存他人档案,对伪造、涂改销毁档案材料和利用档案材料营私舞弊等违反《中华人民共和国保守秘密法》、《中华人民共和国档案法》和《干部档案工作条例》的,应视情节轻重,予以严肃处理</w:t>
      </w:r>
      <w:r>
        <w:rPr>
          <w:rFonts w:hint="eastAsia" w:asciiTheme="minorEastAsia" w:hAnsiTheme="minorEastAsia" w:eastAsiaTheme="minorEastAsia" w:cstheme="minorEastAsia"/>
          <w:b w:val="0"/>
          <w:bCs w:val="0"/>
          <w:color w:val="auto"/>
          <w:sz w:val="24"/>
          <w:szCs w:val="24"/>
          <w:lang w:eastAsia="zh-CN"/>
        </w:rPr>
        <w:t>。</w:t>
      </w:r>
    </w:p>
    <w:p w14:paraId="0C11C1C2">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销毁剔除干部人事档案材料时,要认真登记,填清销毁材料的名称、原因和时间等,经领导批准后方可销毁</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销毁时应到指定地点并派两名以上工作人员进行监销</w:t>
      </w:r>
      <w:r>
        <w:rPr>
          <w:rFonts w:hint="eastAsia" w:asciiTheme="minorEastAsia" w:hAnsiTheme="minorEastAsia" w:eastAsiaTheme="minorEastAsia" w:cstheme="minorEastAsia"/>
          <w:b w:val="0"/>
          <w:bCs w:val="0"/>
          <w:color w:val="auto"/>
          <w:sz w:val="24"/>
          <w:szCs w:val="24"/>
          <w:lang w:eastAsia="zh-CN"/>
        </w:rPr>
        <w:t>。</w:t>
      </w:r>
    </w:p>
    <w:p w14:paraId="5BF068CF">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要定期检查防盗、防火、防晒、防潮、防蛀等安全措施。</w:t>
      </w:r>
    </w:p>
    <w:p w14:paraId="6BE62691">
      <w:pPr>
        <w:pStyle w:val="14"/>
        <w:pageBreakBefore w:val="0"/>
        <w:kinsoku/>
        <w:wordWrap/>
        <w:overflowPunct/>
        <w:topLinePunct w:val="0"/>
        <w:autoSpaceDE/>
        <w:autoSpaceDN/>
        <w:bidi w:val="0"/>
        <w:adjustRightInd/>
        <w:spacing w:before="0" w:beforeAutospacing="0" w:after="0" w:afterAutospacing="0" w:line="580" w:lineRule="exact"/>
        <w:ind w:left="0" w:firstLine="480" w:firstLineChars="200"/>
        <w:jc w:val="both"/>
        <w:textAlignment w:val="auto"/>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第十一条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本制度自发布之日起实施。</w:t>
      </w:r>
      <w:r>
        <w:rPr>
          <w:rFonts w:hint="eastAsia" w:asciiTheme="minorEastAsia" w:hAnsiTheme="minorEastAsia" w:eastAsiaTheme="minorEastAsia" w:cstheme="minorEastAsia"/>
          <w:b/>
          <w:bCs/>
          <w:color w:val="auto"/>
          <w:sz w:val="32"/>
          <w:szCs w:val="32"/>
        </w:rPr>
        <w:t>　 </w:t>
      </w:r>
    </w:p>
    <w:bookmarkEnd w:id="0"/>
    <w:bookmarkEnd w:id="1"/>
    <w:bookmarkEnd w:id="2"/>
    <w:p w14:paraId="1E39CEB2">
      <w:pPr>
        <w:pStyle w:val="3"/>
        <w:keepNext/>
        <w:keepLines/>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社会医疗保险管理局</w:t>
      </w:r>
    </w:p>
    <w:p w14:paraId="6B2715A7">
      <w:pPr>
        <w:pStyle w:val="3"/>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rPr>
        <w:t>“综合柜员制”</w:t>
      </w:r>
      <w:r>
        <w:rPr>
          <w:rFonts w:hint="eastAsia" w:asciiTheme="minorEastAsia" w:hAnsiTheme="minorEastAsia" w:eastAsiaTheme="minorEastAsia" w:cstheme="minorEastAsia"/>
          <w:b/>
          <w:bCs/>
          <w:lang w:val="en-US" w:eastAsia="zh-CN"/>
        </w:rPr>
        <w:t>及窗口人员</w:t>
      </w:r>
      <w:r>
        <w:rPr>
          <w:rFonts w:hint="eastAsia" w:asciiTheme="minorEastAsia" w:hAnsiTheme="minorEastAsia" w:eastAsiaTheme="minorEastAsia" w:cstheme="minorEastAsia"/>
          <w:b/>
          <w:bCs/>
        </w:rPr>
        <w:t>管理</w:t>
      </w:r>
      <w:r>
        <w:rPr>
          <w:rFonts w:hint="eastAsia" w:asciiTheme="minorEastAsia" w:hAnsiTheme="minorEastAsia" w:eastAsiaTheme="minorEastAsia" w:cstheme="minorEastAsia"/>
          <w:b/>
          <w:bCs/>
          <w:lang w:val="en-US" w:eastAsia="zh-CN"/>
        </w:rPr>
        <w:t>制度</w:t>
      </w:r>
    </w:p>
    <w:p w14:paraId="024211C2">
      <w:pPr>
        <w:pageBreakBefore w:val="0"/>
        <w:widowControl/>
        <w:kinsoku/>
        <w:overflowPunct/>
        <w:topLinePunct w:val="0"/>
        <w:bidi w:val="0"/>
        <w:spacing w:line="580" w:lineRule="exact"/>
        <w:ind w:left="0" w:leftChars="0" w:right="0" w:rightChars="0" w:firstLine="0" w:firstLineChars="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color w:val="000000"/>
          <w:kern w:val="0"/>
          <w:sz w:val="24"/>
          <w:szCs w:val="24"/>
        </w:rPr>
        <w:t>第一章 总 则</w:t>
      </w:r>
    </w:p>
    <w:p w14:paraId="7BA756E8">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第一条 为全面提升医保经办综合柜员服务水平，规范综合柜员制窗口服务行为，为广大参保人员提供制度化、规范化、专业化和人性化服务，塑造良好的窗口形象,</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结合白城市社会医疗保险管理局工作实际，</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制定综合柜员制窗口规范化管理</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制度</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 </w:t>
      </w:r>
    </w:p>
    <w:p w14:paraId="360E9AD8">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第二条 本</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制度</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内容包括组织管理及职责、窗口服务场所管理、窗口人员行为管理、窗口工作规范管理、咨询服务管理、投诉服务管理</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加强大厅廉政建设，</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切实规范大厅管理人员和窗口工作人员服务行为，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确保全体工作人员</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依法行政</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，廉洁从政</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w:t>
      </w:r>
    </w:p>
    <w:p w14:paraId="34667A5D">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第三条 本</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制度</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适用于市医保经办服务窗口。</w:t>
      </w:r>
    </w:p>
    <w:p w14:paraId="45B6AD6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41ED93AA">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第二章 组织管理及职责</w:t>
      </w:r>
    </w:p>
    <w:p w14:paraId="38FDA059">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第四条 窗口实行“统一标准、集中管理、分级负责” </w:t>
      </w:r>
    </w:p>
    <w:p w14:paraId="01636978">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的管理体制</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“统一标准”是指窗口执行统一的相关管理制度和业务标准。“集中管理”是指窗口工作人员统一由综合 </w:t>
      </w:r>
    </w:p>
    <w:p w14:paraId="3B01D8DC">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业务</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科</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负责管理。“分级负责”是指根据业务风险等级，制 </w:t>
      </w:r>
    </w:p>
    <w:p w14:paraId="691AFB30">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定不同级别审核。 </w:t>
      </w:r>
    </w:p>
    <w:p w14:paraId="392AB496">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第五条 窗口主要承担以下职责： </w:t>
      </w:r>
    </w:p>
    <w:p w14:paraId="5B26132D">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（一）负责参保单位、参保人员办理医保业务。 </w:t>
      </w:r>
    </w:p>
    <w:p w14:paraId="44620ACE">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（二）负责两定单位、异地就医人员的医保结算业务。 </w:t>
      </w:r>
    </w:p>
    <w:p w14:paraId="66F18650">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（三）负责来访人有关医保政策咨询服务。</w:t>
      </w:r>
    </w:p>
    <w:p w14:paraId="58B2A626">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p w14:paraId="415BFA85">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第三章 窗口服务场所管理</w:t>
      </w:r>
    </w:p>
    <w:p w14:paraId="5D7D4830">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第六条 </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统一服务环境。严格执行国家医保部门和政务大厅关于窗口单位标识、标志、形象以及设施设备等方面规范要求。 </w:t>
      </w:r>
    </w:p>
    <w:p w14:paraId="042506E6">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第七条 规范服务场所功能设置。开放式服务大厅应设立窗口业务办理区、咨询引导台、业务办理等侯区、自助查询区、政策宣传区、业务交流室和档案整理室等。设立残疾人专用设施以及设置医药箱等便民服务设施。 </w:t>
      </w:r>
    </w:p>
    <w:p w14:paraId="7508BBC4">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第八条 公布办事流程。在大厅显著位置张贴或制作办事事项、办事流程展板以及单据填写示范样例。在明显位置整齐摆放各类业务宣传页和业务服务指南。 </w:t>
      </w:r>
    </w:p>
    <w:p w14:paraId="1875DDE2">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第九条 服务场所安全便利。服务场所内做到采光良好、空气流通良好,方便疏散,并配备防火、防盗、监控等设施。保持环境卫生清洁,设施设备摆放有序。</w:t>
      </w:r>
    </w:p>
    <w:p w14:paraId="5A19C5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0439BE91">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第四章 窗口服务的基本原则</w:t>
      </w:r>
    </w:p>
    <w:p w14:paraId="61F8CB29">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第十条 依法依规。窗口服务应严格遵守国家的法律、法规及相关政策规定,服务事项严格按照医疗保障经办服务事项清单及相关要求开展。 </w:t>
      </w:r>
    </w:p>
    <w:p w14:paraId="6C21867C">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第十一条 规范服务。严格按照规定规范的业务流程和岗位职责要求提供服务。 </w:t>
      </w:r>
    </w:p>
    <w:p w14:paraId="41F4E94F">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第十二条 公平公正公开。对各类服务对象坚持公正公平公开、一视同仁,维护其合法、正当权益。对办事事项要公开透明,对所需材料、办理时限、注意事项等要通过官方网站、公众号、手机APP等渠道进行宣传。</w:t>
      </w:r>
    </w:p>
    <w:p w14:paraId="39BCFD02">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20B88BD7">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第五章 窗口服务的工作规范</w:t>
      </w:r>
    </w:p>
    <w:p w14:paraId="117E275A">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第十三条 首办负责制。接待服务对象的第一人为首问责任人, 对属于责任范围内的事项不推诿,应按规定立即接办,态度诚恳, 耐心解答,负责到底。对非自己职责范围内的事,首办责任人也要热情接待,并根据办事事由,明确告知申请人受理部门和窗口信息,做好交接,让来办事群众方便、快捷地找到经办人员并及时办事。 </w:t>
      </w:r>
    </w:p>
    <w:p w14:paraId="3052E343">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第十四条 一次性告知。针对服务对象所办业务,要咨询解答到位,一次性告知所提申请是否符合政策规定、办理相关业务所需手续、办理路径及时限。不能办理的,须一次性告知服务对象办理事项所需的全部资料。在网上审核业务时,要详细地填写告知其不通过的原因。 </w:t>
      </w:r>
    </w:p>
    <w:p w14:paraId="593BFA77">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第十五条 “三提前”准备。提前到达岗位进入工作状态;提前检查好信息系统或硬件设施;提前准备好业务凭证和相关印章。 </w:t>
      </w:r>
    </w:p>
    <w:p w14:paraId="36899870">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第十六条 业务“不积压”。在业务受理、初审、复核、办结各环节,按岗位职责和时限要求及时办理。如果超过办理时限,应电话告知服务对象原因并告知准确办结时间。对距离较远、往返困难及有其他特殊情况的服务对象,应按“急事急办、特事特办”原则,开辟“绿色通道”,实行点对点服务、重点服务和“一条龙”服务。 </w:t>
      </w:r>
    </w:p>
    <w:p w14:paraId="4224A683">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第十七条 允许现场更正补正。对服务对象提交申请材料不齐全或者不符合法定形式,可以当场补全或者更正的,要允许申请人当场补全或者更正;不能当场补全或者更正的,要 一次性告知申请人需要补正的全部内容和标准,并耐心做好解释工作,严禁推诿拒绝回答申请人的咨询,让申请人反复跑。 </w:t>
      </w:r>
    </w:p>
    <w:p w14:paraId="13ACE362">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第十八条 推行预约办理。对于业务量较大或有其他特殊情况的服务对象,经办单位留置预约窗口,开放网络、电话等预约端口, 服务对象可提出预约申请,经办单位在预约时间内为服务对象办理业务。 </w:t>
      </w:r>
    </w:p>
    <w:p w14:paraId="21D35581">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第十九条 推行主动上门。对行动不便等特殊服务对象可采取主动上门办理业务。 </w:t>
      </w:r>
    </w:p>
    <w:p w14:paraId="70670205">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第二十条 定期例会制度。定期召开会议,针对近期的业务问题、服务问题等,进行窗口内部交流。定期组织窗口工作人员进行培训,包括最新政策、最新动态、最新业务变动,确保统一口径解答问题。 </w:t>
      </w:r>
    </w:p>
    <w:p w14:paraId="5CA39D0F">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第二十一条 开展帮办代办服务。指定专门业务代办人员为参保人员提供全程代办服务。服务对象准各的材料齐备的需要代办的，由专人对需办事项提供代办服务。承办代办事项后，按照 “能当 场办的即时办、不能当场办的限时办、涉及多个部门的联合办”的原则,由代办员全程代办。代办事项结束后,代办员按照业务时限,向代办服务对象及时回复代办果。 </w:t>
      </w:r>
    </w:p>
    <w:p w14:paraId="37DE10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21A03680">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第六章 窗口工作人员服务行为规范</w:t>
      </w:r>
    </w:p>
    <w:p w14:paraId="45DED753">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第二十二条 仪表端庄。工作人员在工作时间应按有关标准或规定统一着装或穿着整齐服饰,坐 姿、立姿、行姿庄重得体。在服务窗口,应设置岗位牌、评价器,工作人员佩戴身份牌;在语音服务时,应主动告知服务对象自己的工号,明确服务身份。服务窗口负责人也要挂牌上岗,并在服务窗口规定位置监督服务。 </w:t>
      </w:r>
    </w:p>
    <w:p w14:paraId="6B0391BC">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第二十三条 服务热情。工作人员向服务对象提供服务,要做到“三有声”、“四个一点”、“五个一样”。“三有声”即来有迎声、问有答声、走有送声;“ 四个一点”即微笑多一点、话语亲一点、办事勤一点、效率高一点;“ 五个一样”即领导与群众一个样、生人与熟人一个样、本地人与外地人一个样、忙时与闲时一个样、来早与来晚一个样。要主动提升服务“温度”。接待服务对象要热心、诚心、耐心。服务对象咨询有关问题时,要耐心倾听,全面细致地解答清楚,对服务对象没有提到而在办理过程中可能涉及的问题也要一并讲清。要做到百问不厌,不准冷落、刁难、训斥和歧视服务对象。当服务对象提出意见,建议和批评时,要冷静倾听,耐心解释,做到有则改之,无则加勉。当服务对象出现误解、出言不逊时,要做好政策的宣传和解释工作。 </w:t>
      </w:r>
    </w:p>
    <w:p w14:paraId="0D60AFC6">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第二十四条 使用文明用语。窗口服务、电话服务、网上在线服务应使用文明用语。本着文明礼貌、热情周到、有利沟通、化解矛盾的原则,灵活加以运用。严禁使用伤害感情,激化矛盾,损害形象的语言。 </w:t>
      </w:r>
    </w:p>
    <w:p w14:paraId="0B2FEED8">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第二十五条 提倡采取业务通办的综合柜员制服务模式,实现“窗口受理、后台联办、窗口出件、一次办结”。增加网上办事渠道和业务办理事项,扩大 “不见面”办理事项。 </w:t>
      </w:r>
    </w:p>
    <w:p w14:paraId="30F7A09E">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第二十六条 要强化制度管理,实施 “好差评”制度,建立监督检查制度,不断改进服务作风;服务窗口要自觉接受监督,主动查找问题,提出改进措施。通过服务窗口设立服务评价器、服务大厅设立群众意见箱,公布举报监督电话、网络投诉和网络舆情监控、开发语音或视频互动系统等方式,加强与服务对象的沟通交流,接受群众监督。</w:t>
      </w:r>
    </w:p>
    <w:p w14:paraId="1DF44F8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0AD5A125">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第七章 咨询服务管理</w:t>
      </w:r>
    </w:p>
    <w:p w14:paraId="19287E89">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第二十七条 对社会公布的电话要有专人接听，并且确 </w:t>
      </w:r>
    </w:p>
    <w:p w14:paraId="0B07ABEB">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保响铃三声内进行接听。工作人员在接听电话时，应耐心细致问明服务对象的来电意图，并且进行认真周全的答复，不可在通话中随意打断服务对象讲话，不能当即答复的，留下联系方式，并按约定时间尽快答复。对不属于工作范围问题，应当说明情况，并尽可能提供相关单位及其联系电话。</w:t>
      </w:r>
    </w:p>
    <w:p w14:paraId="63E7886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6C9713E1">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第八章 投诉服务管理</w:t>
      </w:r>
    </w:p>
    <w:p w14:paraId="6AC734D2">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第二十八条 处理投诉要以社会保险法为依据，切实维 </w:t>
      </w:r>
    </w:p>
    <w:p w14:paraId="33792B64">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护参保人利益为出发点，按照“统一管理、首问负责、限时 </w:t>
      </w:r>
    </w:p>
    <w:p w14:paraId="73F21F79">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回复”的原则妥善处理。服务大厅设置统一的意见箱，由专人管理和定期开启。投诉书应当定期登记并由科长处理。对服务对象来信投诉的，其来信应当登记后由科长直接受理。在查清有关实际情况后，提出并决定处理意见，处理意见上报局领导。对于参保人员来访的，由综合业务科统一负责接待处理。属于我局范围内的一般投诉在7个工作日内答复投诉者；复杂情况的投诉在15个工作日内答复投诉者；无答复渠道的可不予答复。</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 </w:t>
      </w:r>
    </w:p>
    <w:p w14:paraId="26FE83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rPr>
      </w:pPr>
    </w:p>
    <w:p w14:paraId="6728CE56">
      <w:pPr>
        <w:pageBreakBefore w:val="0"/>
        <w:widowControl/>
        <w:kinsoku/>
        <w:overflowPunct/>
        <w:topLinePunct w:val="0"/>
        <w:bidi w:val="0"/>
        <w:spacing w:line="580" w:lineRule="exact"/>
        <w:jc w:val="cente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第九章 窗口人员廉洁行为规范</w:t>
      </w:r>
    </w:p>
    <w:p w14:paraId="7DA2D62C">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第二十九条 大厅党员领导干部和全体工作人员应时刻牢记全心全意为人民服务的宗旨，自觉遵守《党章》《中国共产党党员领导干部廉洁从政若干准则》和《公务员行为规范》等有关规定。</w:t>
      </w:r>
    </w:p>
    <w:p w14:paraId="2A57C85D">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第三十条 不准利用职务和工作之便谋取私利、捞好处，杜绝办事推诿、吃拿卡要等不正之风，不准刁难办事企业和办事群众。</w:t>
      </w:r>
    </w:p>
    <w:p w14:paraId="1C82D046">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第三十一条 不准接受服务对象以任何方式和名义赠送的现金、证券、贵重物品和各种有价证（卡）。</w:t>
      </w:r>
    </w:p>
    <w:p w14:paraId="0376BE3E">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第三十二条 不准借工作之便从事任何以谋取个人利益为目的中介或营利性的行为。</w:t>
      </w:r>
    </w:p>
    <w:p w14:paraId="096F4199">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第三十三条 不准以任何名义向企业和个人拉赞助、摊派及巧立名目收费等。</w:t>
      </w:r>
    </w:p>
    <w:p w14:paraId="663BB323">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第三十四条 不准让服务对象报销应由个人支付的任何费用。</w:t>
      </w:r>
    </w:p>
    <w:p w14:paraId="792B0C68">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第三十五条 不准接受服务对象邀请的带有交易性质的宴请，以及营业性场所的娱乐及旅游等活动。</w:t>
      </w:r>
    </w:p>
    <w:p w14:paraId="00ED38AF">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第三十六条 不准利用职务和工作之便向服务对象借款、借车或让其为个人购买物品。</w:t>
      </w:r>
    </w:p>
    <w:p w14:paraId="58E0AE8A">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第三十七条 对违反本办法的行为，须对其本人及相关 </w:t>
      </w:r>
    </w:p>
    <w:p w14:paraId="0F0438A0">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人员视情节轻重依纪依规予以责任追究，属于工作人员一般 </w:t>
      </w:r>
    </w:p>
    <w:p w14:paraId="0447C0F7">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 xml:space="preserve">责任的，要加强教育培训或调离窗口；情节严重，影响恶劣 </w:t>
      </w:r>
    </w:p>
    <w:p w14:paraId="6A14C463">
      <w:pPr>
        <w:pageBreakBefore w:val="0"/>
        <w:widowControl/>
        <w:kinsoku/>
        <w:overflowPunct/>
        <w:topLinePunct w:val="0"/>
        <w:bidi w:val="0"/>
        <w:spacing w:line="580" w:lineRule="exact"/>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的，要通报批评、调离工作岗位，对严重违规违纪的人员，依纪依规予以严肃处理，并依照相关规定追究有关责任人的责任。</w:t>
      </w:r>
    </w:p>
    <w:p w14:paraId="6E55CC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val="0"/>
          <w:bCs w:val="0"/>
          <w:sz w:val="24"/>
          <w:szCs w:val="24"/>
          <w:lang w:val="en-US" w:eastAsia="zh-CN"/>
        </w:rPr>
      </w:pPr>
    </w:p>
    <w:p w14:paraId="3121287D">
      <w:pPr>
        <w:pageBreakBefore w:val="0"/>
        <w:widowControl/>
        <w:kinsoku/>
        <w:overflowPunct/>
        <w:topLinePunct w:val="0"/>
        <w:bidi w:val="0"/>
        <w:spacing w:line="58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color w:val="000000"/>
          <w:kern w:val="0"/>
          <w:sz w:val="24"/>
          <w:szCs w:val="24"/>
        </w:rPr>
        <w:t>第</w:t>
      </w:r>
      <w:r>
        <w:rPr>
          <w:rFonts w:hint="eastAsia" w:asciiTheme="minorEastAsia" w:hAnsiTheme="minorEastAsia" w:eastAsiaTheme="minorEastAsia" w:cstheme="minorEastAsia"/>
          <w:b/>
          <w:bCs/>
          <w:color w:val="000000"/>
          <w:kern w:val="0"/>
          <w:sz w:val="24"/>
          <w:szCs w:val="24"/>
          <w:lang w:eastAsia="zh-CN"/>
        </w:rPr>
        <w:t>十</w:t>
      </w:r>
      <w:r>
        <w:rPr>
          <w:rFonts w:hint="eastAsia" w:asciiTheme="minorEastAsia" w:hAnsiTheme="minorEastAsia" w:eastAsiaTheme="minorEastAsia" w:cstheme="minorEastAsia"/>
          <w:b/>
          <w:bCs/>
          <w:color w:val="000000"/>
          <w:kern w:val="0"/>
          <w:sz w:val="24"/>
          <w:szCs w:val="24"/>
        </w:rPr>
        <w:t xml:space="preserve">章 </w:t>
      </w:r>
      <w:r>
        <w:rPr>
          <w:rFonts w:hint="eastAsia" w:asciiTheme="minorEastAsia" w:hAnsiTheme="minorEastAsia" w:eastAsiaTheme="minorEastAsia" w:cstheme="minorEastAsia"/>
          <w:b/>
          <w:bCs/>
          <w:color w:val="000000"/>
          <w:kern w:val="0"/>
          <w:sz w:val="24"/>
          <w:szCs w:val="24"/>
          <w:lang w:eastAsia="zh-CN"/>
        </w:rPr>
        <w:t>附</w:t>
      </w:r>
      <w:r>
        <w:rPr>
          <w:rFonts w:hint="eastAsia" w:asciiTheme="minorEastAsia" w:hAnsiTheme="minorEastAsia" w:eastAsiaTheme="minorEastAsia" w:cstheme="minorEastAsia"/>
          <w:b/>
          <w:bCs/>
          <w:color w:val="000000"/>
          <w:kern w:val="0"/>
          <w:sz w:val="24"/>
          <w:szCs w:val="24"/>
        </w:rPr>
        <w:t xml:space="preserve"> 则</w:t>
      </w:r>
    </w:p>
    <w:p w14:paraId="43F816D8">
      <w:pPr>
        <w:pageBreakBefore w:val="0"/>
        <w:widowControl/>
        <w:kinsoku/>
        <w:overflowPunct/>
        <w:topLinePunct w:val="0"/>
        <w:bidi w:val="0"/>
        <w:spacing w:line="58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第三十八条 本制度自颁布之日起执行。</w:t>
      </w:r>
    </w:p>
    <w:p w14:paraId="03C84962">
      <w:pPr>
        <w:pageBreakBefore w:val="0"/>
        <w:kinsoku/>
        <w:overflowPunct/>
        <w:topLinePunct w:val="0"/>
        <w:bidi w:val="0"/>
        <w:spacing w:line="580" w:lineRule="exact"/>
        <w:jc w:val="both"/>
        <w:rPr>
          <w:rFonts w:hint="eastAsia" w:asciiTheme="minorEastAsia" w:hAnsiTheme="minorEastAsia" w:eastAsiaTheme="minorEastAsia" w:cstheme="minorEastAsia"/>
          <w:b/>
          <w:bCs/>
          <w:color w:val="000000" w:themeColor="text1"/>
          <w:sz w:val="32"/>
          <w:szCs w:val="32"/>
          <w14:textFill>
            <w14:solidFill>
              <w14:schemeClr w14:val="tx1"/>
            </w14:solidFill>
          </w14:textFill>
        </w:rPr>
      </w:pPr>
    </w:p>
    <w:p w14:paraId="23D98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both"/>
        <w:rPr>
          <w:rFonts w:hint="eastAsia" w:asciiTheme="minorEastAsia" w:hAnsiTheme="minorEastAsia" w:eastAsiaTheme="minorEastAsia" w:cstheme="minorEastAsia"/>
          <w:b/>
          <w:bCs/>
          <w:color w:val="000000" w:themeColor="text1"/>
          <w14:textFill>
            <w14:solidFill>
              <w14:schemeClr w14:val="tx1"/>
            </w14:solidFill>
          </w14:textFill>
        </w:rPr>
      </w:pPr>
    </w:p>
    <w:sectPr>
      <w:footerReference r:id="rId5" w:type="default"/>
      <w:pgSz w:w="11905"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9A2D">
    <w:pPr>
      <w:pStyle w:val="9"/>
      <w:jc w:val="center"/>
    </w:pPr>
  </w:p>
  <w:p w14:paraId="5B795C1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31E6">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A698F">
                          <w:pPr>
                            <w:pStyle w:val="9"/>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A698F">
                    <w:pPr>
                      <w:pStyle w:val="9"/>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p w14:paraId="41C3090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0CD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0A42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E0A42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CD267"/>
    <w:multiLevelType w:val="singleLevel"/>
    <w:tmpl w:val="3F8CD267"/>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jUxODA3NzEwOWI2MThiOGQ0MjU5OGIwZTU2MjcifQ=="/>
  </w:docVars>
  <w:rsids>
    <w:rsidRoot w:val="00000000"/>
    <w:rsid w:val="00A17882"/>
    <w:rsid w:val="00CD7FE7"/>
    <w:rsid w:val="00E75F07"/>
    <w:rsid w:val="00F02C08"/>
    <w:rsid w:val="00FF6359"/>
    <w:rsid w:val="01991FFC"/>
    <w:rsid w:val="02453475"/>
    <w:rsid w:val="037A0C4C"/>
    <w:rsid w:val="03C30D12"/>
    <w:rsid w:val="04DB48D9"/>
    <w:rsid w:val="051801BE"/>
    <w:rsid w:val="054B0F90"/>
    <w:rsid w:val="0586255D"/>
    <w:rsid w:val="05A25CAE"/>
    <w:rsid w:val="05CA72D1"/>
    <w:rsid w:val="05D47923"/>
    <w:rsid w:val="069B266D"/>
    <w:rsid w:val="069D6799"/>
    <w:rsid w:val="07397467"/>
    <w:rsid w:val="07B429FA"/>
    <w:rsid w:val="07FF1830"/>
    <w:rsid w:val="0A7467EE"/>
    <w:rsid w:val="0AAB44ED"/>
    <w:rsid w:val="0AD40F18"/>
    <w:rsid w:val="0AEE2027"/>
    <w:rsid w:val="0AF20D2B"/>
    <w:rsid w:val="0B316DD6"/>
    <w:rsid w:val="0BF3632B"/>
    <w:rsid w:val="0C30193A"/>
    <w:rsid w:val="0CBE59D0"/>
    <w:rsid w:val="0D8350A6"/>
    <w:rsid w:val="0D8C2724"/>
    <w:rsid w:val="0DFA6F17"/>
    <w:rsid w:val="0E666C1B"/>
    <w:rsid w:val="0EDA20A8"/>
    <w:rsid w:val="0EEB282F"/>
    <w:rsid w:val="0F271F19"/>
    <w:rsid w:val="0F5B330F"/>
    <w:rsid w:val="0F906FB0"/>
    <w:rsid w:val="0F935DD3"/>
    <w:rsid w:val="0FD32AC8"/>
    <w:rsid w:val="0FD532C9"/>
    <w:rsid w:val="102C7228"/>
    <w:rsid w:val="106A7E1A"/>
    <w:rsid w:val="10C775A7"/>
    <w:rsid w:val="10D94B00"/>
    <w:rsid w:val="122176D8"/>
    <w:rsid w:val="122C476C"/>
    <w:rsid w:val="12A83E8C"/>
    <w:rsid w:val="130046F1"/>
    <w:rsid w:val="132E37EA"/>
    <w:rsid w:val="13C10F7A"/>
    <w:rsid w:val="14103C50"/>
    <w:rsid w:val="14153362"/>
    <w:rsid w:val="149938D6"/>
    <w:rsid w:val="14D60043"/>
    <w:rsid w:val="15C22CEA"/>
    <w:rsid w:val="161E436E"/>
    <w:rsid w:val="162F11C9"/>
    <w:rsid w:val="16DB6183"/>
    <w:rsid w:val="17003109"/>
    <w:rsid w:val="17762D9E"/>
    <w:rsid w:val="17867AC6"/>
    <w:rsid w:val="17A470AB"/>
    <w:rsid w:val="18542DAB"/>
    <w:rsid w:val="18A010A5"/>
    <w:rsid w:val="18FF0E13"/>
    <w:rsid w:val="193B0AD9"/>
    <w:rsid w:val="19C9538A"/>
    <w:rsid w:val="19E5463E"/>
    <w:rsid w:val="1A4E0BC4"/>
    <w:rsid w:val="1AA1344A"/>
    <w:rsid w:val="1ACA4E65"/>
    <w:rsid w:val="1AD24DF7"/>
    <w:rsid w:val="1B563987"/>
    <w:rsid w:val="1BA3571E"/>
    <w:rsid w:val="1BAF2F68"/>
    <w:rsid w:val="1BEA6C27"/>
    <w:rsid w:val="1C6945BB"/>
    <w:rsid w:val="1D3B57D9"/>
    <w:rsid w:val="1D6543FE"/>
    <w:rsid w:val="1DB63E2A"/>
    <w:rsid w:val="1DCF209C"/>
    <w:rsid w:val="1E1E2278"/>
    <w:rsid w:val="1E20222B"/>
    <w:rsid w:val="1E41486F"/>
    <w:rsid w:val="1E5A5EE8"/>
    <w:rsid w:val="1E656C9F"/>
    <w:rsid w:val="1EC15EF9"/>
    <w:rsid w:val="20403386"/>
    <w:rsid w:val="20BA4912"/>
    <w:rsid w:val="20C64AA6"/>
    <w:rsid w:val="211D1899"/>
    <w:rsid w:val="22097210"/>
    <w:rsid w:val="232C139C"/>
    <w:rsid w:val="238F256B"/>
    <w:rsid w:val="24552FF9"/>
    <w:rsid w:val="247D2324"/>
    <w:rsid w:val="24BA037C"/>
    <w:rsid w:val="250E013A"/>
    <w:rsid w:val="25655E09"/>
    <w:rsid w:val="25721636"/>
    <w:rsid w:val="25913D7B"/>
    <w:rsid w:val="259158E9"/>
    <w:rsid w:val="25D505E1"/>
    <w:rsid w:val="262A6E4D"/>
    <w:rsid w:val="263F53B9"/>
    <w:rsid w:val="267675F1"/>
    <w:rsid w:val="26D07C75"/>
    <w:rsid w:val="26D60076"/>
    <w:rsid w:val="26D9324E"/>
    <w:rsid w:val="26FB7A8F"/>
    <w:rsid w:val="2702211E"/>
    <w:rsid w:val="27084C49"/>
    <w:rsid w:val="29135D77"/>
    <w:rsid w:val="29487457"/>
    <w:rsid w:val="29E747F8"/>
    <w:rsid w:val="29F62DE6"/>
    <w:rsid w:val="2A13279D"/>
    <w:rsid w:val="2A4F1EE4"/>
    <w:rsid w:val="2A734517"/>
    <w:rsid w:val="2B783BF3"/>
    <w:rsid w:val="2BAB626D"/>
    <w:rsid w:val="2BD70128"/>
    <w:rsid w:val="2CBB13D4"/>
    <w:rsid w:val="2CF92C7F"/>
    <w:rsid w:val="2D2B53E8"/>
    <w:rsid w:val="2D4F6D29"/>
    <w:rsid w:val="2D5601DF"/>
    <w:rsid w:val="2D6051A9"/>
    <w:rsid w:val="2DED7A44"/>
    <w:rsid w:val="2EAB4EC7"/>
    <w:rsid w:val="2EDD221C"/>
    <w:rsid w:val="2F3702AC"/>
    <w:rsid w:val="2FB058F7"/>
    <w:rsid w:val="2FBB57D8"/>
    <w:rsid w:val="2FC04EA0"/>
    <w:rsid w:val="2FDA7AED"/>
    <w:rsid w:val="3048426C"/>
    <w:rsid w:val="31A70615"/>
    <w:rsid w:val="31EB1C4E"/>
    <w:rsid w:val="323C662C"/>
    <w:rsid w:val="3258277A"/>
    <w:rsid w:val="32AC0031"/>
    <w:rsid w:val="32B94F15"/>
    <w:rsid w:val="32E8728E"/>
    <w:rsid w:val="33806982"/>
    <w:rsid w:val="33BC17D6"/>
    <w:rsid w:val="33CE6AD5"/>
    <w:rsid w:val="33DB3255"/>
    <w:rsid w:val="33EC6733"/>
    <w:rsid w:val="341D3255"/>
    <w:rsid w:val="34F853BA"/>
    <w:rsid w:val="35186FC9"/>
    <w:rsid w:val="3532796A"/>
    <w:rsid w:val="3555164D"/>
    <w:rsid w:val="359C426E"/>
    <w:rsid w:val="365F776A"/>
    <w:rsid w:val="36C679F8"/>
    <w:rsid w:val="37257016"/>
    <w:rsid w:val="3733221A"/>
    <w:rsid w:val="382207B2"/>
    <w:rsid w:val="3847296A"/>
    <w:rsid w:val="38910D11"/>
    <w:rsid w:val="3A1A6F62"/>
    <w:rsid w:val="3A2560A7"/>
    <w:rsid w:val="3A5A2855"/>
    <w:rsid w:val="3AA52BD6"/>
    <w:rsid w:val="3BE14AD1"/>
    <w:rsid w:val="3BE6549A"/>
    <w:rsid w:val="3C4C72BF"/>
    <w:rsid w:val="3C8C76A3"/>
    <w:rsid w:val="3D220898"/>
    <w:rsid w:val="3D2A79EB"/>
    <w:rsid w:val="3E2351C3"/>
    <w:rsid w:val="3E3D4203"/>
    <w:rsid w:val="3E893C68"/>
    <w:rsid w:val="3F1E15B9"/>
    <w:rsid w:val="3F6A2802"/>
    <w:rsid w:val="3FB754B7"/>
    <w:rsid w:val="3FF27187"/>
    <w:rsid w:val="41116F30"/>
    <w:rsid w:val="4199706A"/>
    <w:rsid w:val="41E577C1"/>
    <w:rsid w:val="42487DE9"/>
    <w:rsid w:val="431B1EB1"/>
    <w:rsid w:val="43666E42"/>
    <w:rsid w:val="43800FC5"/>
    <w:rsid w:val="438B40CD"/>
    <w:rsid w:val="44036232"/>
    <w:rsid w:val="44330891"/>
    <w:rsid w:val="443C4FB3"/>
    <w:rsid w:val="44682562"/>
    <w:rsid w:val="454F1485"/>
    <w:rsid w:val="457A11BA"/>
    <w:rsid w:val="469B17C7"/>
    <w:rsid w:val="46AA411E"/>
    <w:rsid w:val="46AC78C1"/>
    <w:rsid w:val="46DF11C5"/>
    <w:rsid w:val="4700456E"/>
    <w:rsid w:val="47262C98"/>
    <w:rsid w:val="473B6676"/>
    <w:rsid w:val="478635C8"/>
    <w:rsid w:val="47C27FE5"/>
    <w:rsid w:val="4810225D"/>
    <w:rsid w:val="481F137B"/>
    <w:rsid w:val="48423690"/>
    <w:rsid w:val="48B73E29"/>
    <w:rsid w:val="4928474B"/>
    <w:rsid w:val="492F4B37"/>
    <w:rsid w:val="498946DE"/>
    <w:rsid w:val="49DE7586"/>
    <w:rsid w:val="4A515D6D"/>
    <w:rsid w:val="4AFA3A3C"/>
    <w:rsid w:val="4B650B6C"/>
    <w:rsid w:val="4BC202C9"/>
    <w:rsid w:val="4BCC5770"/>
    <w:rsid w:val="4C023FB7"/>
    <w:rsid w:val="4D4A0466"/>
    <w:rsid w:val="4E2556DF"/>
    <w:rsid w:val="4E5A3902"/>
    <w:rsid w:val="4F280ABB"/>
    <w:rsid w:val="4F301C0E"/>
    <w:rsid w:val="4FAF7E58"/>
    <w:rsid w:val="51733DD9"/>
    <w:rsid w:val="5183716D"/>
    <w:rsid w:val="51B92928"/>
    <w:rsid w:val="51D159C3"/>
    <w:rsid w:val="51DD66F6"/>
    <w:rsid w:val="5306238E"/>
    <w:rsid w:val="53255228"/>
    <w:rsid w:val="534679FE"/>
    <w:rsid w:val="54553603"/>
    <w:rsid w:val="54656671"/>
    <w:rsid w:val="55BB7DD1"/>
    <w:rsid w:val="55F357DC"/>
    <w:rsid w:val="560F214E"/>
    <w:rsid w:val="561A18FF"/>
    <w:rsid w:val="561C41FD"/>
    <w:rsid w:val="56201180"/>
    <w:rsid w:val="56DF509B"/>
    <w:rsid w:val="576E07B5"/>
    <w:rsid w:val="577E4D28"/>
    <w:rsid w:val="57F129D2"/>
    <w:rsid w:val="592C428A"/>
    <w:rsid w:val="593A69F1"/>
    <w:rsid w:val="59495F9E"/>
    <w:rsid w:val="595224F6"/>
    <w:rsid w:val="597B3F3A"/>
    <w:rsid w:val="597F45D3"/>
    <w:rsid w:val="59C549A6"/>
    <w:rsid w:val="5A553099"/>
    <w:rsid w:val="5B007500"/>
    <w:rsid w:val="5B122B87"/>
    <w:rsid w:val="5B491C50"/>
    <w:rsid w:val="5BA01DC2"/>
    <w:rsid w:val="5BEC1A5C"/>
    <w:rsid w:val="5C1B45E8"/>
    <w:rsid w:val="5CDA4399"/>
    <w:rsid w:val="5D052821"/>
    <w:rsid w:val="5E8F3582"/>
    <w:rsid w:val="5F5E370B"/>
    <w:rsid w:val="5F926AB3"/>
    <w:rsid w:val="60396B95"/>
    <w:rsid w:val="603A6497"/>
    <w:rsid w:val="611D4026"/>
    <w:rsid w:val="61800BCB"/>
    <w:rsid w:val="627B7E42"/>
    <w:rsid w:val="63661B4E"/>
    <w:rsid w:val="636E3AC2"/>
    <w:rsid w:val="63887DFC"/>
    <w:rsid w:val="65D51692"/>
    <w:rsid w:val="66B81376"/>
    <w:rsid w:val="67600C29"/>
    <w:rsid w:val="67711F13"/>
    <w:rsid w:val="680D0EA8"/>
    <w:rsid w:val="68BF27E3"/>
    <w:rsid w:val="68E32348"/>
    <w:rsid w:val="69A76EC4"/>
    <w:rsid w:val="69D57A7F"/>
    <w:rsid w:val="69F10014"/>
    <w:rsid w:val="69F14020"/>
    <w:rsid w:val="6A0A45AE"/>
    <w:rsid w:val="6A6D4CEA"/>
    <w:rsid w:val="6B743A26"/>
    <w:rsid w:val="6BFF0D3E"/>
    <w:rsid w:val="6C1F35C6"/>
    <w:rsid w:val="6CC93C98"/>
    <w:rsid w:val="6D8B2324"/>
    <w:rsid w:val="6DEB2690"/>
    <w:rsid w:val="6DF03CE4"/>
    <w:rsid w:val="6E3C195A"/>
    <w:rsid w:val="6E3C6468"/>
    <w:rsid w:val="6E545313"/>
    <w:rsid w:val="6E5D71B9"/>
    <w:rsid w:val="6E95577F"/>
    <w:rsid w:val="6EC45594"/>
    <w:rsid w:val="6EC9409C"/>
    <w:rsid w:val="6EDB7150"/>
    <w:rsid w:val="6F6C7016"/>
    <w:rsid w:val="7014592E"/>
    <w:rsid w:val="70E32DFD"/>
    <w:rsid w:val="720C328A"/>
    <w:rsid w:val="72DF49EC"/>
    <w:rsid w:val="731E55B0"/>
    <w:rsid w:val="733213D9"/>
    <w:rsid w:val="745A7970"/>
    <w:rsid w:val="74ED41DF"/>
    <w:rsid w:val="75297FBE"/>
    <w:rsid w:val="75E47F00"/>
    <w:rsid w:val="7671771D"/>
    <w:rsid w:val="76A93552"/>
    <w:rsid w:val="771A5923"/>
    <w:rsid w:val="775575AB"/>
    <w:rsid w:val="776654DD"/>
    <w:rsid w:val="778F48A3"/>
    <w:rsid w:val="77CD6678"/>
    <w:rsid w:val="77D415F1"/>
    <w:rsid w:val="77E750E5"/>
    <w:rsid w:val="77F34ECD"/>
    <w:rsid w:val="78AF4551"/>
    <w:rsid w:val="794E1AB2"/>
    <w:rsid w:val="7AC96FA0"/>
    <w:rsid w:val="7B182C5A"/>
    <w:rsid w:val="7B811594"/>
    <w:rsid w:val="7BAE4185"/>
    <w:rsid w:val="7D37508D"/>
    <w:rsid w:val="7D460D8B"/>
    <w:rsid w:val="7DB306D4"/>
    <w:rsid w:val="7E3325C6"/>
    <w:rsid w:val="7E565391"/>
    <w:rsid w:val="7F334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ascii="Times New Roman" w:hAnsi="Times New Roman" w:eastAsia="黑体"/>
      <w:b/>
      <w:bCs/>
      <w:kern w:val="44"/>
      <w:sz w:val="36"/>
    </w:rPr>
  </w:style>
  <w:style w:type="paragraph" w:styleId="3">
    <w:name w:val="heading 2"/>
    <w:basedOn w:val="4"/>
    <w:next w:val="1"/>
    <w:unhideWhenUsed/>
    <w:qFormat/>
    <w:uiPriority w:val="0"/>
    <w:pPr>
      <w:jc w:val="center"/>
      <w:outlineLvl w:val="1"/>
    </w:pPr>
    <w:rPr>
      <w:rFonts w:ascii="Times New Roman" w:hAnsi="Times New Roman" w:eastAsia="黑体"/>
      <w:sz w:val="36"/>
      <w:szCs w:val="44"/>
    </w:rPr>
  </w:style>
  <w:style w:type="paragraph" w:styleId="4">
    <w:name w:val="heading 3"/>
    <w:basedOn w:val="1"/>
    <w:next w:val="1"/>
    <w:link w:val="28"/>
    <w:unhideWhenUsed/>
    <w:qFormat/>
    <w:uiPriority w:val="0"/>
    <w:pPr>
      <w:keepNext/>
      <w:keepLines/>
      <w:widowControl w:val="0"/>
      <w:spacing w:before="260" w:after="260" w:line="415" w:lineRule="auto"/>
      <w:jc w:val="center"/>
      <w:outlineLvl w:val="2"/>
    </w:pPr>
    <w:rPr>
      <w:rFonts w:eastAsia="仿宋"/>
      <w:sz w:val="32"/>
      <w:szCs w:val="32"/>
    </w:rPr>
  </w:style>
  <w:style w:type="paragraph" w:styleId="5">
    <w:name w:val="heading 4"/>
    <w:basedOn w:val="1"/>
    <w:next w:val="1"/>
    <w:semiHidden/>
    <w:unhideWhenUsed/>
    <w:qFormat/>
    <w:uiPriority w:val="0"/>
    <w:pPr>
      <w:keepNext/>
      <w:keepLines/>
      <w:widowControl w:val="0"/>
      <w:spacing w:before="280" w:after="290" w:line="376" w:lineRule="auto"/>
      <w:jc w:val="center"/>
      <w:outlineLvl w:val="3"/>
    </w:pPr>
    <w:rPr>
      <w:rFonts w:ascii="Arial" w:hAnsi="Arial" w:eastAsia="楷体"/>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4080"/>
    <w:pPr>
      <w:adjustRightInd w:val="0"/>
      <w:ind w:firstLine="675"/>
    </w:pPr>
    <w:rPr>
      <w:rFonts w:eastAsia="仿宋_GB2312"/>
      <w:sz w:val="32"/>
      <w:szCs w:val="20"/>
    </w:rPr>
  </w:style>
  <w:style w:type="paragraph" w:styleId="7">
    <w:name w:val="index 5"/>
    <w:next w:val="1"/>
    <w:qFormat/>
    <w:uiPriority w:val="0"/>
    <w:pPr>
      <w:widowControl w:val="0"/>
      <w:autoSpaceDN w:val="0"/>
      <w:spacing w:line="520" w:lineRule="exact"/>
      <w:ind w:firstLine="643" w:firstLineChars="200"/>
      <w:jc w:val="both"/>
      <w:textAlignment w:val="bottom"/>
    </w:pPr>
    <w:rPr>
      <w:rFonts w:ascii="仿宋_GB2312" w:hAnsi="Times New Roman" w:eastAsia="仿宋_GB2312" w:cs="仿宋_GB2312"/>
      <w:b/>
      <w:bCs/>
      <w:sz w:val="32"/>
      <w:szCs w:val="32"/>
      <w:lang w:val="en-US" w:eastAsia="zh-CN" w:bidi="ar-SA"/>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next w:val="1"/>
    <w:qFormat/>
    <w:uiPriority w:val="0"/>
    <w:pPr>
      <w:spacing w:before="120" w:after="120"/>
      <w:ind w:left="0"/>
      <w:jc w:val="left"/>
    </w:pPr>
    <w:rPr>
      <w:rFonts w:ascii="黑体" w:hAnsi="Times New Roman" w:eastAsia="黑体" w:cs="Times New Roman"/>
      <w:caps/>
      <w:sz w:val="20"/>
      <w:lang w:val="en-US" w:eastAsia="zh-CN" w:bidi="ar-SA"/>
    </w:rPr>
  </w:style>
  <w:style w:type="paragraph" w:styleId="12">
    <w:name w:val="toc 4"/>
    <w:next w:val="1"/>
    <w:qFormat/>
    <w:uiPriority w:val="0"/>
    <w:pPr>
      <w:ind w:left="630"/>
      <w:jc w:val="left"/>
    </w:pPr>
    <w:rPr>
      <w:rFonts w:ascii="Times New Roman" w:hAnsi="Times New Roman" w:eastAsia="黑体" w:cs="Times New Roman"/>
      <w:sz w:val="18"/>
      <w:lang w:val="en-US" w:eastAsia="zh-CN" w:bidi="ar-SA"/>
    </w:rPr>
  </w:style>
  <w:style w:type="paragraph" w:styleId="13">
    <w:name w:val="toc 2"/>
    <w:next w:val="1"/>
    <w:qFormat/>
    <w:uiPriority w:val="0"/>
    <w:pPr>
      <w:ind w:left="210"/>
      <w:jc w:val="left"/>
    </w:pPr>
    <w:rPr>
      <w:rFonts w:ascii="楷体" w:hAnsi="Times New Roman" w:eastAsia="楷体" w:cs="Times New Roman"/>
      <w:smallCaps/>
      <w:sz w:val="20"/>
      <w:lang w:val="en-US" w:eastAsia="zh-CN" w:bidi="ar-SA"/>
    </w:rPr>
  </w:style>
  <w:style w:type="paragraph" w:styleId="14">
    <w:name w:val="Normal (Web)"/>
    <w:basedOn w:val="1"/>
    <w:next w:val="7"/>
    <w:qFormat/>
    <w:uiPriority w:val="0"/>
    <w:pPr>
      <w:widowControl/>
      <w:spacing w:after="150"/>
      <w:jc w:val="left"/>
    </w:pPr>
    <w:rPr>
      <w:rFonts w:ascii="宋体" w:hAnsi="Times New Roman" w:eastAsia="宋体" w:cs="宋体"/>
      <w:kern w:val="0"/>
      <w:sz w:val="24"/>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Hyperlink"/>
    <w:basedOn w:val="17"/>
    <w:qFormat/>
    <w:uiPriority w:val="0"/>
    <w:rPr>
      <w:color w:val="0000FF"/>
      <w:u w:val="none"/>
    </w:rPr>
  </w:style>
  <w:style w:type="character" w:customStyle="1" w:styleId="22">
    <w:name w:val="font31"/>
    <w:basedOn w:val="17"/>
    <w:qFormat/>
    <w:uiPriority w:val="0"/>
    <w:rPr>
      <w:rFonts w:hint="eastAsia" w:ascii="宋体" w:hAnsi="宋体" w:eastAsia="宋体" w:cs="宋体"/>
      <w:b/>
      <w:color w:val="000000"/>
      <w:sz w:val="22"/>
      <w:szCs w:val="22"/>
      <w:u w:val="none"/>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 New New New New"/>
    <w:qFormat/>
    <w:uiPriority w:val="0"/>
    <w:pPr>
      <w:widowControl w:val="0"/>
      <w:jc w:val="both"/>
    </w:pPr>
    <w:rPr>
      <w:rFonts w:ascii="仿宋_GB2312" w:hAnsi="Times New Roman" w:eastAsia="仿宋_GB2312" w:cs="Times New Roman"/>
      <w:kern w:val="2"/>
      <w:sz w:val="32"/>
      <w:szCs w:val="24"/>
      <w:lang w:val="en-US" w:eastAsia="zh-CN" w:bidi="ar-SA"/>
    </w:rPr>
  </w:style>
  <w:style w:type="paragraph" w:customStyle="1" w:styleId="26">
    <w:name w:val="正文 New New New"/>
    <w:qFormat/>
    <w:uiPriority w:val="0"/>
    <w:pPr>
      <w:widowControl w:val="0"/>
      <w:jc w:val="both"/>
    </w:pPr>
    <w:rPr>
      <w:rFonts w:ascii="仿宋_GB2312" w:hAnsi="Times New Roman" w:eastAsia="仿宋_GB2312" w:cs="Times New Roman"/>
      <w:kern w:val="2"/>
      <w:sz w:val="32"/>
      <w:szCs w:val="24"/>
      <w:lang w:val="en-US" w:eastAsia="zh-CN" w:bidi="ar-SA"/>
    </w:rPr>
  </w:style>
  <w:style w:type="paragraph" w:customStyle="1" w:styleId="27">
    <w:name w:val="正文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8">
    <w:name w:val="标题 3 Char"/>
    <w:basedOn w:val="17"/>
    <w:link w:val="4"/>
    <w:qFormat/>
    <w:uiPriority w:val="99"/>
    <w:rPr>
      <w:rFonts w:eastAsia="仿宋"/>
      <w:sz w:val="32"/>
      <w:szCs w:val="32"/>
    </w:rPr>
  </w:style>
  <w:style w:type="paragraph" w:customStyle="1" w:styleId="29">
    <w:name w:val="标题 3 New"/>
    <w:basedOn w:val="24"/>
    <w:next w:val="24"/>
    <w:qFormat/>
    <w:uiPriority w:val="0"/>
    <w:pPr>
      <w:keepNext/>
      <w:keepLines/>
      <w:spacing w:before="260" w:after="260" w:line="416" w:lineRule="auto"/>
      <w:outlineLvl w:val="2"/>
    </w:pPr>
    <w:rPr>
      <w:b/>
      <w:bCs/>
      <w:sz w:val="32"/>
      <w:szCs w:val="32"/>
    </w:rPr>
  </w:style>
  <w:style w:type="paragraph" w:customStyle="1" w:styleId="30">
    <w:name w:val="_Style 2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61889</Words>
  <Characters>63781</Characters>
  <Lines>0</Lines>
  <Paragraphs>0</Paragraphs>
  <TotalTime>304</TotalTime>
  <ScaleCrop>false</ScaleCrop>
  <LinksUpToDate>false</LinksUpToDate>
  <CharactersWithSpaces>65098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2020-05-04T07:31:00Z</dcterms:created>
  <dc:creator>user</dc:creator>
  <cp:lastModifiedBy>Administrator</cp:lastModifiedBy>
  <cp:lastPrinted>2020-10-17T01:41:00Z</cp:lastPrinted>
  <dcterms:modified xsi:type="dcterms:W3CDTF">2024-07-17T09:47:50Z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797F950032894A738DA1E08411933635</vt:lpwstr>
  </property>
</Properties>
</file>